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8"/>
        <w:tblW w:w="11079" w:type="dxa"/>
        <w:tblLayout w:type="fixed"/>
        <w:tblLook w:val="01E0" w:firstRow="1" w:lastRow="1" w:firstColumn="1" w:lastColumn="1" w:noHBand="0" w:noVBand="0"/>
      </w:tblPr>
      <w:tblGrid>
        <w:gridCol w:w="5540"/>
        <w:gridCol w:w="5539"/>
      </w:tblGrid>
      <w:tr w:rsidR="00E0767F" w:rsidRPr="008E7494" w14:paraId="73AF226B" w14:textId="77777777" w:rsidTr="00703AF9">
        <w:tc>
          <w:tcPr>
            <w:tcW w:w="5540" w:type="dxa"/>
          </w:tcPr>
          <w:p w14:paraId="0547CAFE" w14:textId="77777777" w:rsidR="00E0767F" w:rsidRPr="009B3406" w:rsidRDefault="00E0767F" w:rsidP="009B3406">
            <w:pPr>
              <w:pStyle w:val="Heading2"/>
            </w:pPr>
            <w:r w:rsidRPr="0003150E">
              <w:br w:type="page"/>
            </w:r>
            <w:r w:rsidRPr="009B3406">
              <w:t>Financial summary</w:t>
            </w:r>
          </w:p>
          <w:p w14:paraId="2E43370F" w14:textId="77777777" w:rsidR="00E0767F" w:rsidRPr="0003150E" w:rsidRDefault="00E0767F" w:rsidP="00703AF9">
            <w:r w:rsidRPr="0003150E">
              <w:t>This financial overview is a summary of the financial performance and position of the Commission.</w:t>
            </w:r>
          </w:p>
          <w:p w14:paraId="63A40A8C" w14:textId="77777777" w:rsidR="00E0767F" w:rsidRPr="0003150E" w:rsidRDefault="00E0767F" w:rsidP="009B3406">
            <w:pPr>
              <w:pStyle w:val="Heading3"/>
            </w:pPr>
            <w:r w:rsidRPr="0003150E">
              <w:t>The Commission’s financial reporting framework</w:t>
            </w:r>
          </w:p>
          <w:p w14:paraId="27357D5E" w14:textId="2C60E184" w:rsidR="00E0767F" w:rsidRPr="0003150E" w:rsidRDefault="00E0767F" w:rsidP="00703AF9">
            <w:r w:rsidRPr="0003150E">
              <w:t xml:space="preserve">A comprehensive set of 2018-19 financial statements covering all aspects of the Commission’s activities commences on </w:t>
            </w:r>
            <w:r w:rsidRPr="00735500">
              <w:t xml:space="preserve">page </w:t>
            </w:r>
            <w:r w:rsidR="00E31489" w:rsidRPr="00735500">
              <w:t>82</w:t>
            </w:r>
            <w:r w:rsidRPr="00735500">
              <w:t>. These</w:t>
            </w:r>
            <w:r w:rsidRPr="0003150E">
              <w:t xml:space="preserve"> statements include explanatory notes and comparative figures for 2017-18.</w:t>
            </w:r>
          </w:p>
          <w:p w14:paraId="4A175730" w14:textId="77777777" w:rsidR="00E0767F" w:rsidRPr="0003150E" w:rsidRDefault="00E0767F" w:rsidP="00703AF9">
            <w:r w:rsidRPr="0003150E">
              <w:t>Internal audits are performed by the Executive Officer (Finance) to ensure efficiency and economy of systems and to identify financial, operational and business continuity risks. Audit results are duly reported to the Commissioner and Registrar to determine whether any remedial actions are required and to establish compliance with statutory requirements and best practice.</w:t>
            </w:r>
          </w:p>
          <w:p w14:paraId="7C78B6AF" w14:textId="77777777" w:rsidR="00E0767F" w:rsidRPr="0003150E" w:rsidRDefault="00E0767F" w:rsidP="009B3406">
            <w:pPr>
              <w:pStyle w:val="Heading3"/>
            </w:pPr>
            <w:r w:rsidRPr="0003150E">
              <w:t>Operating result</w:t>
            </w:r>
          </w:p>
          <w:p w14:paraId="3E054725" w14:textId="2448636C" w:rsidR="00E0767F" w:rsidRPr="0003150E" w:rsidRDefault="00E0767F" w:rsidP="00703AF9">
            <w:r w:rsidRPr="0003150E">
              <w:t>The operating result for 2018-19 was a deficit of $183,015.</w:t>
            </w:r>
            <w:r w:rsidR="00E6130D">
              <w:t xml:space="preserve"> As at 30 June a Memorandum of Understanding between the Queensland and Australian Governments </w:t>
            </w:r>
            <w:r w:rsidR="00080033">
              <w:t>i</w:t>
            </w:r>
            <w:r w:rsidR="00E6130D">
              <w:t xml:space="preserve">s still under negotiation in regard to Australian Government funding offered for a </w:t>
            </w:r>
            <w:proofErr w:type="gramStart"/>
            <w:r w:rsidR="00E6130D">
              <w:t>three year</w:t>
            </w:r>
            <w:proofErr w:type="gramEnd"/>
            <w:r w:rsidR="00E6130D">
              <w:t xml:space="preserve"> term from January 2019.</w:t>
            </w:r>
          </w:p>
          <w:p w14:paraId="6B871BBF" w14:textId="77777777" w:rsidR="00E0767F" w:rsidRPr="009B3406" w:rsidRDefault="00E0767F" w:rsidP="009B3406">
            <w:pPr>
              <w:pStyle w:val="Heading3"/>
            </w:pPr>
            <w:r w:rsidRPr="009B3406">
              <w:t>Summarised statement of comprehensive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gridCol w:w="993"/>
            </w:tblGrid>
            <w:tr w:rsidR="00E0767F" w:rsidRPr="0003150E" w14:paraId="22F92E87" w14:textId="77777777" w:rsidTr="00703AF9">
              <w:trPr>
                <w:trHeight w:val="440"/>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9406F44" w14:textId="77777777" w:rsidR="00E0767F" w:rsidRPr="0003150E" w:rsidRDefault="00E0767F" w:rsidP="00DE1D43">
                  <w:pPr>
                    <w:framePr w:hSpace="180" w:wrap="around" w:vAnchor="text" w:hAnchor="margin" w:y="-128"/>
                    <w:spacing w:after="0"/>
                    <w:rPr>
                      <w:b/>
                    </w:rPr>
                  </w:pPr>
                  <w:r w:rsidRPr="0003150E">
                    <w:rPr>
                      <w:b/>
                    </w:rPr>
                    <w:t>Summary statement</w:t>
                  </w:r>
                </w:p>
              </w:tc>
              <w:tc>
                <w:tcPr>
                  <w:tcW w:w="930" w:type="dxa"/>
                  <w:tcBorders>
                    <w:top w:val="single" w:sz="4" w:space="0" w:color="auto"/>
                    <w:left w:val="single" w:sz="4" w:space="0" w:color="auto"/>
                    <w:right w:val="single" w:sz="4" w:space="0" w:color="auto"/>
                  </w:tcBorders>
                  <w:tcMar>
                    <w:top w:w="80" w:type="dxa"/>
                    <w:left w:w="80" w:type="dxa"/>
                    <w:bottom w:w="80" w:type="dxa"/>
                    <w:right w:w="80" w:type="dxa"/>
                  </w:tcMar>
                </w:tcPr>
                <w:p w14:paraId="77F9475C" w14:textId="77777777" w:rsidR="00E0767F" w:rsidRPr="0003150E" w:rsidRDefault="00E0767F" w:rsidP="00DE1D43">
                  <w:pPr>
                    <w:framePr w:hSpace="180" w:wrap="around" w:vAnchor="text" w:hAnchor="margin" w:y="-128"/>
                    <w:spacing w:after="0" w:line="240" w:lineRule="auto"/>
                    <w:jc w:val="right"/>
                    <w:rPr>
                      <w:b/>
                    </w:rPr>
                  </w:pPr>
                  <w:r w:rsidRPr="0003150E">
                    <w:rPr>
                      <w:b/>
                    </w:rPr>
                    <w:t>30 Jun 2019</w:t>
                  </w:r>
                </w:p>
              </w:tc>
              <w:tc>
                <w:tcPr>
                  <w:tcW w:w="993" w:type="dxa"/>
                  <w:tcBorders>
                    <w:top w:val="single" w:sz="4" w:space="0" w:color="auto"/>
                    <w:left w:val="single" w:sz="4" w:space="0" w:color="auto"/>
                    <w:right w:val="single" w:sz="4" w:space="0" w:color="auto"/>
                  </w:tcBorders>
                  <w:tcMar>
                    <w:top w:w="80" w:type="dxa"/>
                    <w:left w:w="80" w:type="dxa"/>
                    <w:bottom w:w="80" w:type="dxa"/>
                    <w:right w:w="80" w:type="dxa"/>
                  </w:tcMar>
                </w:tcPr>
                <w:p w14:paraId="31339573" w14:textId="77777777" w:rsidR="00E0767F" w:rsidRPr="0003150E" w:rsidRDefault="00E0767F" w:rsidP="00DE1D43">
                  <w:pPr>
                    <w:framePr w:hSpace="180" w:wrap="around" w:vAnchor="text" w:hAnchor="margin" w:y="-128"/>
                    <w:spacing w:after="0" w:line="240" w:lineRule="auto"/>
                    <w:jc w:val="right"/>
                    <w:rPr>
                      <w:b/>
                    </w:rPr>
                  </w:pPr>
                  <w:r w:rsidRPr="0003150E">
                    <w:rPr>
                      <w:b/>
                    </w:rPr>
                    <w:t>30 Jun 2018</w:t>
                  </w:r>
                </w:p>
              </w:tc>
            </w:tr>
            <w:tr w:rsidR="00E0767F" w:rsidRPr="0003150E" w14:paraId="19A89BD7" w14:textId="77777777" w:rsidTr="00703AF9">
              <w:trPr>
                <w:trHeight w:val="20"/>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C7AAB09" w14:textId="77777777" w:rsidR="00E0767F" w:rsidRPr="0003150E" w:rsidRDefault="00E0767F" w:rsidP="00DE1D43">
                  <w:pPr>
                    <w:framePr w:hSpace="180" w:wrap="around" w:vAnchor="text" w:hAnchor="margin" w:y="-128"/>
                    <w:spacing w:after="0"/>
                    <w:rPr>
                      <w:b/>
                    </w:rPr>
                  </w:pPr>
                </w:p>
              </w:tc>
              <w:tc>
                <w:tcPr>
                  <w:tcW w:w="930" w:type="dxa"/>
                  <w:tcBorders>
                    <w:left w:val="single" w:sz="4" w:space="0" w:color="auto"/>
                    <w:bottom w:val="single" w:sz="4" w:space="0" w:color="auto"/>
                    <w:right w:val="single" w:sz="4" w:space="0" w:color="auto"/>
                  </w:tcBorders>
                  <w:tcMar>
                    <w:top w:w="80" w:type="dxa"/>
                    <w:left w:w="80" w:type="dxa"/>
                    <w:bottom w:w="80" w:type="dxa"/>
                    <w:right w:w="80" w:type="dxa"/>
                  </w:tcMar>
                </w:tcPr>
                <w:p w14:paraId="190068BD" w14:textId="77777777" w:rsidR="00E0767F" w:rsidRPr="0003150E" w:rsidRDefault="00E0767F" w:rsidP="00DE1D43">
                  <w:pPr>
                    <w:framePr w:hSpace="180" w:wrap="around" w:vAnchor="text" w:hAnchor="margin" w:y="-128"/>
                    <w:spacing w:after="0" w:line="240" w:lineRule="auto"/>
                    <w:jc w:val="right"/>
                    <w:rPr>
                      <w:b/>
                    </w:rPr>
                  </w:pPr>
                  <w:r w:rsidRPr="0003150E">
                    <w:rPr>
                      <w:b/>
                    </w:rPr>
                    <w:t>$000</w:t>
                  </w:r>
                </w:p>
              </w:tc>
              <w:tc>
                <w:tcPr>
                  <w:tcW w:w="993" w:type="dxa"/>
                  <w:tcBorders>
                    <w:left w:val="single" w:sz="4" w:space="0" w:color="auto"/>
                    <w:bottom w:val="single" w:sz="4" w:space="0" w:color="auto"/>
                    <w:right w:val="single" w:sz="4" w:space="0" w:color="auto"/>
                  </w:tcBorders>
                  <w:tcMar>
                    <w:top w:w="80" w:type="dxa"/>
                    <w:left w:w="80" w:type="dxa"/>
                    <w:bottom w:w="80" w:type="dxa"/>
                    <w:right w:w="80" w:type="dxa"/>
                  </w:tcMar>
                </w:tcPr>
                <w:p w14:paraId="3FBEE6CA" w14:textId="77777777" w:rsidR="00E0767F" w:rsidRPr="0003150E" w:rsidRDefault="00E0767F" w:rsidP="00DE1D43">
                  <w:pPr>
                    <w:framePr w:hSpace="180" w:wrap="around" w:vAnchor="text" w:hAnchor="margin" w:y="-128"/>
                    <w:spacing w:after="0" w:line="240" w:lineRule="auto"/>
                    <w:jc w:val="right"/>
                    <w:rPr>
                      <w:b/>
                    </w:rPr>
                  </w:pPr>
                  <w:r w:rsidRPr="0003150E">
                    <w:rPr>
                      <w:b/>
                    </w:rPr>
                    <w:t>$000</w:t>
                  </w:r>
                </w:p>
              </w:tc>
            </w:tr>
            <w:tr w:rsidR="00E0767F" w:rsidRPr="0003150E" w14:paraId="0A9B5B93"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46F5361" w14:textId="77777777" w:rsidR="00E0767F" w:rsidRPr="0003150E" w:rsidRDefault="00E0767F" w:rsidP="00DE1D43">
                  <w:pPr>
                    <w:framePr w:hSpace="180" w:wrap="around" w:vAnchor="text" w:hAnchor="margin" w:y="-128"/>
                    <w:spacing w:after="0"/>
                  </w:pPr>
                  <w:r w:rsidRPr="0003150E">
                    <w:t>Income</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DDEACFE" w14:textId="77777777" w:rsidR="00E0767F" w:rsidRPr="0003150E" w:rsidRDefault="00E0767F" w:rsidP="00DE1D43">
                  <w:pPr>
                    <w:framePr w:hSpace="180" w:wrap="around" w:vAnchor="text" w:hAnchor="margin" w:y="-128"/>
                    <w:spacing w:after="0"/>
                    <w:jc w:val="right"/>
                  </w:pPr>
                  <w:r w:rsidRPr="0003150E">
                    <w:t>3,334</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29F76C0" w14:textId="77777777" w:rsidR="00E0767F" w:rsidRPr="0003150E" w:rsidRDefault="00E0767F" w:rsidP="00DE1D43">
                  <w:pPr>
                    <w:framePr w:hSpace="180" w:wrap="around" w:vAnchor="text" w:hAnchor="margin" w:y="-128"/>
                    <w:spacing w:after="0"/>
                    <w:jc w:val="right"/>
                  </w:pPr>
                  <w:r w:rsidRPr="0003150E">
                    <w:t>3,991</w:t>
                  </w:r>
                </w:p>
              </w:tc>
            </w:tr>
            <w:tr w:rsidR="00E0767F" w:rsidRPr="0003150E" w14:paraId="3DEFA674"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14D63F" w14:textId="77777777" w:rsidR="00E0767F" w:rsidRPr="0003150E" w:rsidRDefault="00E0767F" w:rsidP="00DE1D43">
                  <w:pPr>
                    <w:framePr w:hSpace="180" w:wrap="around" w:vAnchor="text" w:hAnchor="margin" w:y="-128"/>
                    <w:spacing w:after="0"/>
                  </w:pPr>
                  <w:r w:rsidRPr="0003150E">
                    <w:t>Less: expenses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6BD913" w14:textId="77777777" w:rsidR="00E0767F" w:rsidRPr="0003150E" w:rsidRDefault="00E0767F" w:rsidP="00DE1D43">
                  <w:pPr>
                    <w:framePr w:hSpace="180" w:wrap="around" w:vAnchor="text" w:hAnchor="margin" w:y="-128"/>
                    <w:spacing w:after="0"/>
                    <w:jc w:val="right"/>
                  </w:pPr>
                  <w:r w:rsidRPr="0003150E">
                    <w:t>3,517</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3736B7E" w14:textId="77777777" w:rsidR="00E0767F" w:rsidRPr="0003150E" w:rsidRDefault="00E0767F" w:rsidP="00DE1D43">
                  <w:pPr>
                    <w:framePr w:hSpace="180" w:wrap="around" w:vAnchor="text" w:hAnchor="margin" w:y="-128"/>
                    <w:spacing w:after="0"/>
                    <w:jc w:val="right"/>
                  </w:pPr>
                  <w:r w:rsidRPr="0003150E">
                    <w:t>3,811</w:t>
                  </w:r>
                </w:p>
              </w:tc>
            </w:tr>
            <w:tr w:rsidR="00E0767F" w:rsidRPr="0003150E" w14:paraId="098BA02E"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DD17646" w14:textId="77777777" w:rsidR="00E0767F" w:rsidRPr="0003150E" w:rsidRDefault="00E0767F" w:rsidP="00DE1D43">
                  <w:pPr>
                    <w:framePr w:hSpace="180" w:wrap="around" w:vAnchor="text" w:hAnchor="margin" w:y="-128"/>
                    <w:spacing w:after="0"/>
                  </w:pPr>
                  <w:r w:rsidRPr="0003150E">
                    <w:t>Operating result for financial year – (deficit)/surplus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B335DE" w14:textId="77777777" w:rsidR="00E0767F" w:rsidRPr="0003150E" w:rsidRDefault="00E0767F" w:rsidP="00DE1D43">
                  <w:pPr>
                    <w:framePr w:hSpace="180" w:wrap="around" w:vAnchor="text" w:hAnchor="margin" w:y="-128"/>
                    <w:spacing w:after="0"/>
                    <w:jc w:val="right"/>
                  </w:pPr>
                  <w:r w:rsidRPr="0003150E">
                    <w:t>(183)</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2668B5" w14:textId="77777777" w:rsidR="00E0767F" w:rsidRPr="0003150E" w:rsidRDefault="00E0767F" w:rsidP="00DE1D43">
                  <w:pPr>
                    <w:framePr w:hSpace="180" w:wrap="around" w:vAnchor="text" w:hAnchor="margin" w:y="-128"/>
                    <w:spacing w:after="0"/>
                    <w:jc w:val="right"/>
                  </w:pPr>
                  <w:r w:rsidRPr="0003150E">
                    <w:t>180</w:t>
                  </w:r>
                </w:p>
              </w:tc>
            </w:tr>
          </w:tbl>
          <w:p w14:paraId="0AF1D015" w14:textId="63A495D8" w:rsidR="0006609B" w:rsidRDefault="0006609B" w:rsidP="009B3406">
            <w:pPr>
              <w:pStyle w:val="Heading3"/>
              <w:spacing w:before="120"/>
            </w:pPr>
            <w:r w:rsidRPr="0003150E">
              <w:t>Income</w:t>
            </w:r>
          </w:p>
          <w:p w14:paraId="2F4369B9" w14:textId="77777777" w:rsidR="00E27572" w:rsidRPr="0003150E" w:rsidRDefault="00E27572" w:rsidP="00E27572">
            <w:pPr>
              <w:spacing w:before="120"/>
            </w:pPr>
            <w:r w:rsidRPr="0003150E">
              <w:t xml:space="preserve">The increase in State Government funding is due to the return of surplus funds of $165,000 in 2017-18 together with a </w:t>
            </w:r>
            <w:r>
              <w:t>Consumer Price Index</w:t>
            </w:r>
            <w:r w:rsidRPr="0003150E">
              <w:t xml:space="preserve"> increase in 2018-19. The Australian Government provided funding only for the period July 2018 to December 2018 therefore a reduction on the prior year. The increase in other revenue is primarily due to the recoupment by the Commission of prior year expenditure of $15,000 and an increase in interest received.</w:t>
            </w:r>
          </w:p>
          <w:p w14:paraId="4C3849FB" w14:textId="77777777" w:rsidR="00E0767F" w:rsidRPr="0003150E" w:rsidRDefault="00E0767F" w:rsidP="00703AF9"/>
        </w:tc>
        <w:tc>
          <w:tcPr>
            <w:tcW w:w="553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A064D1" w:rsidRPr="0003150E" w14:paraId="48D6C85F" w14:textId="77777777" w:rsidTr="003A000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C29439B" w14:textId="77777777" w:rsidR="00A064D1" w:rsidRPr="0003150E" w:rsidRDefault="00A064D1" w:rsidP="00DE1D43">
                  <w:pPr>
                    <w:framePr w:hSpace="180" w:wrap="around" w:vAnchor="text" w:hAnchor="margin" w:y="-128"/>
                    <w:spacing w:after="0"/>
                    <w:rPr>
                      <w:b/>
                    </w:rPr>
                  </w:pPr>
                  <w:r w:rsidRPr="0003150E">
                    <w:rPr>
                      <w:b/>
                    </w:rPr>
                    <w:t>Income by type</w:t>
                  </w:r>
                </w:p>
              </w:tc>
              <w:tc>
                <w:tcPr>
                  <w:tcW w:w="964" w:type="dxa"/>
                  <w:tcBorders>
                    <w:top w:val="single" w:sz="4" w:space="0" w:color="auto"/>
                    <w:left w:val="single" w:sz="4" w:space="0" w:color="auto"/>
                    <w:right w:val="single" w:sz="4" w:space="0" w:color="auto"/>
                  </w:tcBorders>
                  <w:tcMar>
                    <w:top w:w="80" w:type="dxa"/>
                    <w:left w:w="80" w:type="dxa"/>
                    <w:bottom w:w="80" w:type="dxa"/>
                    <w:right w:w="80" w:type="dxa"/>
                  </w:tcMar>
                </w:tcPr>
                <w:p w14:paraId="06139530" w14:textId="77777777" w:rsidR="00A064D1" w:rsidRPr="0003150E" w:rsidRDefault="00A064D1" w:rsidP="00DE1D43">
                  <w:pPr>
                    <w:framePr w:hSpace="180" w:wrap="around" w:vAnchor="text" w:hAnchor="margin" w:y="-128"/>
                    <w:spacing w:after="0" w:line="240" w:lineRule="auto"/>
                    <w:jc w:val="right"/>
                    <w:rPr>
                      <w:b/>
                    </w:rPr>
                  </w:pPr>
                  <w:r w:rsidRPr="0003150E">
                    <w:rPr>
                      <w:b/>
                    </w:rPr>
                    <w:t>30 Jun 2019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384EF9ED" w14:textId="77777777" w:rsidR="00A064D1" w:rsidRPr="0003150E" w:rsidRDefault="00A064D1" w:rsidP="00DE1D43">
                  <w:pPr>
                    <w:framePr w:hSpace="180" w:wrap="around" w:vAnchor="text" w:hAnchor="margin" w:y="-128"/>
                    <w:spacing w:after="0" w:line="240" w:lineRule="auto"/>
                    <w:jc w:val="right"/>
                    <w:rPr>
                      <w:b/>
                    </w:rPr>
                  </w:pPr>
                  <w:r w:rsidRPr="0003150E">
                    <w:rPr>
                      <w:b/>
                    </w:rPr>
                    <w:t xml:space="preserve">30 Jun 2018 </w:t>
                  </w:r>
                </w:p>
              </w:tc>
            </w:tr>
            <w:tr w:rsidR="00A064D1" w:rsidRPr="0003150E" w14:paraId="35FE75AF" w14:textId="77777777" w:rsidTr="003A000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2D1C517" w14:textId="77777777" w:rsidR="00A064D1" w:rsidRPr="0003150E" w:rsidRDefault="00A064D1" w:rsidP="00DE1D43">
                  <w:pPr>
                    <w:framePr w:hSpace="180" w:wrap="around" w:vAnchor="text" w:hAnchor="margin" w:y="-128"/>
                    <w:spacing w:after="0"/>
                    <w:rPr>
                      <w:b/>
                    </w:rPr>
                  </w:pPr>
                </w:p>
              </w:tc>
              <w:tc>
                <w:tcPr>
                  <w:tcW w:w="964" w:type="dxa"/>
                  <w:tcBorders>
                    <w:left w:val="single" w:sz="4" w:space="0" w:color="auto"/>
                    <w:bottom w:val="single" w:sz="4" w:space="0" w:color="auto"/>
                    <w:right w:val="single" w:sz="4" w:space="0" w:color="auto"/>
                  </w:tcBorders>
                  <w:tcMar>
                    <w:top w:w="80" w:type="dxa"/>
                    <w:left w:w="80" w:type="dxa"/>
                    <w:bottom w:w="80" w:type="dxa"/>
                    <w:right w:w="80" w:type="dxa"/>
                  </w:tcMar>
                </w:tcPr>
                <w:p w14:paraId="748308BA" w14:textId="77777777" w:rsidR="00A064D1" w:rsidRPr="0003150E" w:rsidRDefault="00A064D1" w:rsidP="00DE1D43">
                  <w:pPr>
                    <w:framePr w:hSpace="180" w:wrap="around" w:vAnchor="text" w:hAnchor="margin" w:y="-128"/>
                    <w:spacing w:after="0" w:line="240" w:lineRule="auto"/>
                    <w:jc w:val="right"/>
                    <w:rPr>
                      <w:b/>
                    </w:rPr>
                  </w:pPr>
                  <w:r w:rsidRPr="0003150E">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61F2ADB2" w14:textId="77777777" w:rsidR="00A064D1" w:rsidRPr="0003150E" w:rsidRDefault="00A064D1" w:rsidP="00DE1D43">
                  <w:pPr>
                    <w:framePr w:hSpace="180" w:wrap="around" w:vAnchor="text" w:hAnchor="margin" w:y="-128"/>
                    <w:spacing w:after="0" w:line="240" w:lineRule="auto"/>
                    <w:jc w:val="right"/>
                    <w:rPr>
                      <w:b/>
                    </w:rPr>
                  </w:pPr>
                  <w:r w:rsidRPr="0003150E">
                    <w:rPr>
                      <w:b/>
                    </w:rPr>
                    <w:t>$000</w:t>
                  </w:r>
                </w:p>
              </w:tc>
            </w:tr>
            <w:tr w:rsidR="00A064D1" w:rsidRPr="0003150E" w14:paraId="0009131D"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DF58340" w14:textId="77777777" w:rsidR="00A064D1" w:rsidRPr="0003150E" w:rsidRDefault="00A064D1" w:rsidP="00DE1D43">
                  <w:pPr>
                    <w:framePr w:hSpace="180" w:wrap="around" w:vAnchor="text" w:hAnchor="margin" w:y="-128"/>
                    <w:spacing w:after="0"/>
                  </w:pPr>
                  <w:r w:rsidRPr="0003150E">
                    <w:t>State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EB935CB" w14:textId="77777777" w:rsidR="00A064D1" w:rsidRPr="0003150E" w:rsidRDefault="00A064D1" w:rsidP="00DE1D43">
                  <w:pPr>
                    <w:framePr w:hSpace="180" w:wrap="around" w:vAnchor="text" w:hAnchor="margin" w:y="-128"/>
                    <w:spacing w:after="0"/>
                    <w:jc w:val="right"/>
                  </w:pPr>
                  <w:r w:rsidRPr="0003150E">
                    <w:t>1,744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2519D37" w14:textId="77777777" w:rsidR="00A064D1" w:rsidRPr="0003150E" w:rsidRDefault="00A064D1" w:rsidP="00DE1D43">
                  <w:pPr>
                    <w:framePr w:hSpace="180" w:wrap="around" w:vAnchor="text" w:hAnchor="margin" w:y="-128"/>
                    <w:spacing w:after="0"/>
                    <w:jc w:val="right"/>
                  </w:pPr>
                  <w:r w:rsidRPr="0003150E">
                    <w:t>1,522</w:t>
                  </w:r>
                </w:p>
              </w:tc>
            </w:tr>
            <w:tr w:rsidR="00A064D1" w:rsidRPr="0003150E" w14:paraId="4C538BD2"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72EE1A0" w14:textId="77777777" w:rsidR="00A064D1" w:rsidRPr="0003150E" w:rsidRDefault="00A064D1" w:rsidP="00DE1D43">
                  <w:pPr>
                    <w:framePr w:hSpace="180" w:wrap="around" w:vAnchor="text" w:hAnchor="margin" w:y="-128"/>
                    <w:spacing w:after="0"/>
                  </w:pPr>
                  <w:r w:rsidRPr="0003150E">
                    <w:t>Australian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C92A9C4" w14:textId="77777777" w:rsidR="00A064D1" w:rsidRPr="0003150E" w:rsidRDefault="00A064D1" w:rsidP="00DE1D43">
                  <w:pPr>
                    <w:framePr w:hSpace="180" w:wrap="around" w:vAnchor="text" w:hAnchor="margin" w:y="-128"/>
                    <w:spacing w:after="0"/>
                    <w:jc w:val="right"/>
                  </w:pPr>
                  <w:r w:rsidRPr="0003150E">
                    <w:t>900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187A863" w14:textId="77777777" w:rsidR="00A064D1" w:rsidRPr="0003150E" w:rsidRDefault="00A064D1" w:rsidP="00DE1D43">
                  <w:pPr>
                    <w:framePr w:hSpace="180" w:wrap="around" w:vAnchor="text" w:hAnchor="margin" w:y="-128"/>
                    <w:spacing w:after="0"/>
                    <w:jc w:val="right"/>
                  </w:pPr>
                  <w:r w:rsidRPr="0003150E">
                    <w:t>1,800</w:t>
                  </w:r>
                </w:p>
              </w:tc>
            </w:tr>
            <w:tr w:rsidR="00A064D1" w:rsidRPr="0003150E" w14:paraId="05A8B38D"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27D76C" w14:textId="77777777" w:rsidR="00A064D1" w:rsidRPr="0003150E" w:rsidRDefault="00A064D1" w:rsidP="00DE1D43">
                  <w:pPr>
                    <w:framePr w:hSpace="180" w:wrap="around" w:vAnchor="text" w:hAnchor="margin" w:y="-128"/>
                    <w:spacing w:after="0"/>
                  </w:pPr>
                  <w:r w:rsidRPr="0003150E">
                    <w:t>Doomadgee funding - (QLD State)</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F803142" w14:textId="77777777" w:rsidR="00A064D1" w:rsidRPr="0003150E" w:rsidRDefault="00A064D1" w:rsidP="00DE1D43">
                  <w:pPr>
                    <w:framePr w:hSpace="180" w:wrap="around" w:vAnchor="text" w:hAnchor="margin" w:y="-128"/>
                    <w:spacing w:after="0"/>
                    <w:jc w:val="right"/>
                  </w:pPr>
                  <w:r w:rsidRPr="0003150E">
                    <w:t>626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EEA7D0" w14:textId="77777777" w:rsidR="00A064D1" w:rsidRPr="0003150E" w:rsidRDefault="00A064D1" w:rsidP="00DE1D43">
                  <w:pPr>
                    <w:framePr w:hSpace="180" w:wrap="around" w:vAnchor="text" w:hAnchor="margin" w:y="-128"/>
                    <w:spacing w:after="0"/>
                    <w:jc w:val="right"/>
                  </w:pPr>
                  <w:r w:rsidRPr="0003150E">
                    <w:t>626</w:t>
                  </w:r>
                </w:p>
              </w:tc>
            </w:tr>
            <w:tr w:rsidR="00A064D1" w:rsidRPr="0003150E" w14:paraId="1CC9194A"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FCEBA9" w14:textId="77777777" w:rsidR="00A064D1" w:rsidRPr="0003150E" w:rsidRDefault="00A064D1" w:rsidP="00DE1D43">
                  <w:pPr>
                    <w:framePr w:hSpace="180" w:wrap="around" w:vAnchor="text" w:hAnchor="margin" w:y="-128"/>
                    <w:spacing w:after="0"/>
                  </w:pPr>
                  <w:r w:rsidRPr="0003150E">
                    <w:t xml:space="preserve">Other revenue </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8E97828" w14:textId="77777777" w:rsidR="00A064D1" w:rsidRPr="0003150E" w:rsidRDefault="00A064D1" w:rsidP="00DE1D43">
                  <w:pPr>
                    <w:framePr w:hSpace="180" w:wrap="around" w:vAnchor="text" w:hAnchor="margin" w:y="-128"/>
                    <w:spacing w:after="0"/>
                    <w:jc w:val="right"/>
                  </w:pPr>
                  <w:r w:rsidRPr="0003150E">
                    <w:t>64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FB34E20" w14:textId="77777777" w:rsidR="00A064D1" w:rsidRPr="0003150E" w:rsidRDefault="00A064D1" w:rsidP="00DE1D43">
                  <w:pPr>
                    <w:framePr w:hSpace="180" w:wrap="around" w:vAnchor="text" w:hAnchor="margin" w:y="-128"/>
                    <w:spacing w:after="0"/>
                    <w:jc w:val="right"/>
                  </w:pPr>
                  <w:r w:rsidRPr="0003150E">
                    <w:t>43</w:t>
                  </w:r>
                </w:p>
              </w:tc>
            </w:tr>
            <w:tr w:rsidR="00A064D1" w:rsidRPr="0003150E" w14:paraId="2151A0EA" w14:textId="77777777" w:rsidTr="003A000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DBE281" w14:textId="77777777" w:rsidR="00A064D1" w:rsidRPr="0003150E" w:rsidRDefault="00A064D1" w:rsidP="00DE1D43">
                  <w:pPr>
                    <w:framePr w:hSpace="180" w:wrap="around" w:vAnchor="text" w:hAnchor="margin" w:y="-128"/>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8D58AA" w14:textId="77777777" w:rsidR="00A064D1" w:rsidRPr="0003150E" w:rsidRDefault="00A064D1" w:rsidP="00DE1D43">
                  <w:pPr>
                    <w:framePr w:hSpace="180" w:wrap="around" w:vAnchor="text" w:hAnchor="margin" w:y="-128"/>
                    <w:spacing w:after="0"/>
                    <w:jc w:val="right"/>
                    <w:rPr>
                      <w:b/>
                    </w:rPr>
                  </w:pPr>
                  <w:r w:rsidRPr="0003150E">
                    <w:rPr>
                      <w:b/>
                    </w:rPr>
                    <w:t>3,334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8F3784" w14:textId="77777777" w:rsidR="00A064D1" w:rsidRPr="0003150E" w:rsidRDefault="00A064D1" w:rsidP="00DE1D43">
                  <w:pPr>
                    <w:framePr w:hSpace="180" w:wrap="around" w:vAnchor="text" w:hAnchor="margin" w:y="-128"/>
                    <w:spacing w:after="0"/>
                    <w:jc w:val="right"/>
                    <w:rPr>
                      <w:b/>
                    </w:rPr>
                  </w:pPr>
                  <w:r w:rsidRPr="0003150E">
                    <w:rPr>
                      <w:b/>
                    </w:rPr>
                    <w:t>3,991</w:t>
                  </w:r>
                </w:p>
              </w:tc>
            </w:tr>
          </w:tbl>
          <w:p w14:paraId="201919AF" w14:textId="77777777" w:rsidR="00E0767F" w:rsidRPr="0003150E" w:rsidRDefault="00E0767F" w:rsidP="009B3406">
            <w:pPr>
              <w:pStyle w:val="Heading3"/>
              <w:spacing w:before="120"/>
            </w:pPr>
            <w:r w:rsidRPr="0003150E">
              <w:t>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E0767F" w:rsidRPr="0003150E" w14:paraId="53608FE1" w14:textId="77777777" w:rsidTr="00703AF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DFB02CC" w14:textId="77777777" w:rsidR="00E0767F" w:rsidRPr="0003150E" w:rsidRDefault="00E0767F" w:rsidP="00DE1D43">
                  <w:pPr>
                    <w:framePr w:hSpace="180" w:wrap="around" w:vAnchor="text" w:hAnchor="margin" w:y="-128"/>
                    <w:spacing w:after="0"/>
                    <w:rPr>
                      <w:b/>
                    </w:rPr>
                  </w:pPr>
                  <w:r w:rsidRPr="0003150E">
                    <w:rPr>
                      <w:b/>
                    </w:rPr>
                    <w:t>Expenses by type</w:t>
                  </w:r>
                </w:p>
              </w:tc>
              <w:tc>
                <w:tcPr>
                  <w:tcW w:w="964" w:type="dxa"/>
                  <w:tcBorders>
                    <w:top w:val="single" w:sz="4" w:space="0" w:color="auto"/>
                    <w:left w:val="single" w:sz="4" w:space="0" w:color="auto"/>
                    <w:right w:val="single" w:sz="4" w:space="0" w:color="auto"/>
                  </w:tcBorders>
                  <w:tcMar>
                    <w:top w:w="80" w:type="dxa"/>
                    <w:left w:w="80" w:type="dxa"/>
                    <w:bottom w:w="80" w:type="dxa"/>
                    <w:right w:w="80" w:type="dxa"/>
                  </w:tcMar>
                </w:tcPr>
                <w:p w14:paraId="21A73D1A" w14:textId="77777777" w:rsidR="00E0767F" w:rsidRPr="0003150E" w:rsidRDefault="00E0767F" w:rsidP="00DE1D43">
                  <w:pPr>
                    <w:framePr w:hSpace="180" w:wrap="around" w:vAnchor="text" w:hAnchor="margin" w:y="-128"/>
                    <w:spacing w:after="0" w:line="240" w:lineRule="auto"/>
                    <w:jc w:val="right"/>
                    <w:rPr>
                      <w:b/>
                    </w:rPr>
                  </w:pPr>
                  <w:r w:rsidRPr="0003150E">
                    <w:rPr>
                      <w:b/>
                    </w:rPr>
                    <w:t>30 Jun 2019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27DFE4FD" w14:textId="77777777" w:rsidR="00E0767F" w:rsidRPr="0003150E" w:rsidRDefault="00E0767F" w:rsidP="00DE1D43">
                  <w:pPr>
                    <w:framePr w:hSpace="180" w:wrap="around" w:vAnchor="text" w:hAnchor="margin" w:y="-128"/>
                    <w:spacing w:after="0" w:line="240" w:lineRule="auto"/>
                    <w:jc w:val="right"/>
                    <w:rPr>
                      <w:b/>
                    </w:rPr>
                  </w:pPr>
                  <w:r w:rsidRPr="0003150E">
                    <w:rPr>
                      <w:b/>
                    </w:rPr>
                    <w:t xml:space="preserve">30 Jun 2018 </w:t>
                  </w:r>
                </w:p>
              </w:tc>
            </w:tr>
            <w:tr w:rsidR="00E0767F" w:rsidRPr="0003150E" w14:paraId="2F461CB4" w14:textId="77777777" w:rsidTr="00703AF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A7CA000" w14:textId="77777777" w:rsidR="00E0767F" w:rsidRPr="0003150E" w:rsidRDefault="00E0767F" w:rsidP="00DE1D43">
                  <w:pPr>
                    <w:framePr w:hSpace="180" w:wrap="around" w:vAnchor="text" w:hAnchor="margin" w:y="-128"/>
                    <w:spacing w:after="0"/>
                    <w:rPr>
                      <w:b/>
                    </w:rPr>
                  </w:pPr>
                </w:p>
              </w:tc>
              <w:tc>
                <w:tcPr>
                  <w:tcW w:w="964" w:type="dxa"/>
                  <w:tcBorders>
                    <w:left w:val="single" w:sz="4" w:space="0" w:color="auto"/>
                    <w:bottom w:val="single" w:sz="4" w:space="0" w:color="auto"/>
                    <w:right w:val="single" w:sz="4" w:space="0" w:color="auto"/>
                  </w:tcBorders>
                  <w:tcMar>
                    <w:top w:w="80" w:type="dxa"/>
                    <w:left w:w="80" w:type="dxa"/>
                    <w:bottom w:w="80" w:type="dxa"/>
                    <w:right w:w="80" w:type="dxa"/>
                  </w:tcMar>
                </w:tcPr>
                <w:p w14:paraId="5A13041A" w14:textId="77777777" w:rsidR="00E0767F" w:rsidRPr="0003150E" w:rsidRDefault="00E0767F" w:rsidP="00DE1D43">
                  <w:pPr>
                    <w:framePr w:hSpace="180" w:wrap="around" w:vAnchor="text" w:hAnchor="margin" w:y="-128"/>
                    <w:spacing w:after="0" w:line="240" w:lineRule="auto"/>
                    <w:jc w:val="right"/>
                    <w:rPr>
                      <w:b/>
                    </w:rPr>
                  </w:pPr>
                  <w:r w:rsidRPr="0003150E">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26914D10" w14:textId="77777777" w:rsidR="00E0767F" w:rsidRPr="0003150E" w:rsidRDefault="00E0767F" w:rsidP="00DE1D43">
                  <w:pPr>
                    <w:framePr w:hSpace="180" w:wrap="around" w:vAnchor="text" w:hAnchor="margin" w:y="-128"/>
                    <w:spacing w:after="0" w:line="240" w:lineRule="auto"/>
                    <w:jc w:val="right"/>
                    <w:rPr>
                      <w:b/>
                    </w:rPr>
                  </w:pPr>
                  <w:r w:rsidRPr="0003150E">
                    <w:rPr>
                      <w:b/>
                    </w:rPr>
                    <w:t>$000</w:t>
                  </w:r>
                </w:p>
              </w:tc>
            </w:tr>
            <w:tr w:rsidR="00E0767F" w:rsidRPr="0003150E" w14:paraId="6179F36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C80094" w14:textId="77777777" w:rsidR="00E0767F" w:rsidRPr="0003150E" w:rsidRDefault="00E0767F" w:rsidP="00DE1D43">
                  <w:pPr>
                    <w:framePr w:hSpace="180" w:wrap="around" w:vAnchor="text" w:hAnchor="margin" w:y="-128"/>
                    <w:spacing w:after="0"/>
                  </w:pPr>
                  <w:r w:rsidRPr="0003150E">
                    <w:t>Employee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CB09C8" w14:textId="77777777" w:rsidR="00E0767F" w:rsidRPr="0003150E" w:rsidRDefault="00E0767F" w:rsidP="00DE1D43">
                  <w:pPr>
                    <w:framePr w:hSpace="180" w:wrap="around" w:vAnchor="text" w:hAnchor="margin" w:y="-128"/>
                    <w:spacing w:after="0"/>
                    <w:jc w:val="right"/>
                  </w:pPr>
                  <w:r w:rsidRPr="0003150E">
                    <w:t>2,586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42F33B" w14:textId="77777777" w:rsidR="00E0767F" w:rsidRPr="0003150E" w:rsidRDefault="00E0767F" w:rsidP="00DE1D43">
                  <w:pPr>
                    <w:framePr w:hSpace="180" w:wrap="around" w:vAnchor="text" w:hAnchor="margin" w:y="-128"/>
                    <w:spacing w:after="0"/>
                    <w:jc w:val="right"/>
                  </w:pPr>
                  <w:r w:rsidRPr="0003150E">
                    <w:t>2,716</w:t>
                  </w:r>
                </w:p>
              </w:tc>
            </w:tr>
            <w:tr w:rsidR="00E0767F" w:rsidRPr="0003150E" w14:paraId="54B57ADC"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7B8F83" w14:textId="77777777" w:rsidR="00E0767F" w:rsidRPr="0003150E" w:rsidRDefault="00E0767F" w:rsidP="00DE1D43">
                  <w:pPr>
                    <w:framePr w:hSpace="180" w:wrap="around" w:vAnchor="text" w:hAnchor="margin" w:y="-128"/>
                    <w:spacing w:after="0"/>
                  </w:pPr>
                  <w:r w:rsidRPr="0003150E">
                    <w:t>Supplies and services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3D46F2" w14:textId="77777777" w:rsidR="00E0767F" w:rsidRPr="0003150E" w:rsidRDefault="00E0767F" w:rsidP="00DE1D43">
                  <w:pPr>
                    <w:framePr w:hSpace="180" w:wrap="around" w:vAnchor="text" w:hAnchor="margin" w:y="-128"/>
                    <w:spacing w:after="0"/>
                    <w:jc w:val="right"/>
                  </w:pPr>
                  <w:r w:rsidRPr="0003150E">
                    <w:t>877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D767CA" w14:textId="77777777" w:rsidR="00E0767F" w:rsidRPr="0003150E" w:rsidRDefault="00E0767F" w:rsidP="00DE1D43">
                  <w:pPr>
                    <w:framePr w:hSpace="180" w:wrap="around" w:vAnchor="text" w:hAnchor="margin" w:y="-128"/>
                    <w:spacing w:after="0"/>
                    <w:jc w:val="right"/>
                  </w:pPr>
                  <w:r w:rsidRPr="0003150E">
                    <w:t>959</w:t>
                  </w:r>
                </w:p>
              </w:tc>
            </w:tr>
            <w:tr w:rsidR="00E0767F" w:rsidRPr="0003150E" w14:paraId="3FFA9F9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3738E4" w14:textId="77777777" w:rsidR="00E0767F" w:rsidRPr="0003150E" w:rsidRDefault="00E0767F" w:rsidP="00DE1D43">
                  <w:pPr>
                    <w:framePr w:hSpace="180" w:wrap="around" w:vAnchor="text" w:hAnchor="margin" w:y="-128"/>
                    <w:spacing w:after="0"/>
                  </w:pPr>
                  <w:r w:rsidRPr="0003150E">
                    <w:t>Depreciation and amortisation</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E8E5D0B" w14:textId="77777777" w:rsidR="00E0767F" w:rsidRPr="0003150E" w:rsidRDefault="00E0767F" w:rsidP="00DE1D43">
                  <w:pPr>
                    <w:framePr w:hSpace="180" w:wrap="around" w:vAnchor="text" w:hAnchor="margin" w:y="-128"/>
                    <w:spacing w:after="0"/>
                    <w:jc w:val="right"/>
                  </w:pPr>
                  <w:r w:rsidRPr="0003150E">
                    <w:t>14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943D25" w14:textId="77777777" w:rsidR="00E0767F" w:rsidRPr="0003150E" w:rsidRDefault="00E0767F" w:rsidP="00DE1D43">
                  <w:pPr>
                    <w:framePr w:hSpace="180" w:wrap="around" w:vAnchor="text" w:hAnchor="margin" w:y="-128"/>
                    <w:spacing w:after="0"/>
                    <w:jc w:val="right"/>
                  </w:pPr>
                  <w:r w:rsidRPr="0003150E">
                    <w:t>96</w:t>
                  </w:r>
                </w:p>
              </w:tc>
            </w:tr>
            <w:tr w:rsidR="00E0767F" w:rsidRPr="0003150E" w14:paraId="5343C5B7"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C933F5" w14:textId="77777777" w:rsidR="00E0767F" w:rsidRPr="0003150E" w:rsidRDefault="00E0767F" w:rsidP="00DE1D43">
                  <w:pPr>
                    <w:framePr w:hSpace="180" w:wrap="around" w:vAnchor="text" w:hAnchor="margin" w:y="-128"/>
                    <w:spacing w:after="0"/>
                  </w:pPr>
                  <w:r w:rsidRPr="0003150E">
                    <w:t>Other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DDAF827" w14:textId="77777777" w:rsidR="00E0767F" w:rsidRPr="0003150E" w:rsidRDefault="00E0767F" w:rsidP="00DE1D43">
                  <w:pPr>
                    <w:framePr w:hSpace="180" w:wrap="around" w:vAnchor="text" w:hAnchor="margin" w:y="-128"/>
                    <w:spacing w:after="0"/>
                    <w:jc w:val="right"/>
                  </w:pPr>
                  <w:r w:rsidRPr="0003150E">
                    <w:t>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6EA1D8" w14:textId="77777777" w:rsidR="00E0767F" w:rsidRPr="0003150E" w:rsidRDefault="00E0767F" w:rsidP="00DE1D43">
                  <w:pPr>
                    <w:framePr w:hSpace="180" w:wrap="around" w:vAnchor="text" w:hAnchor="margin" w:y="-128"/>
                    <w:spacing w:after="0"/>
                    <w:jc w:val="right"/>
                  </w:pPr>
                  <w:r w:rsidRPr="0003150E">
                    <w:t>40</w:t>
                  </w:r>
                </w:p>
              </w:tc>
            </w:tr>
            <w:tr w:rsidR="00E0767F" w:rsidRPr="0003150E" w14:paraId="441EFB69"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04ED32" w14:textId="77777777" w:rsidR="00E0767F" w:rsidRPr="0003150E" w:rsidRDefault="00E0767F" w:rsidP="00DE1D43">
                  <w:pPr>
                    <w:framePr w:hSpace="180" w:wrap="around" w:vAnchor="text" w:hAnchor="margin" w:y="-128"/>
                    <w:spacing w:after="0"/>
                    <w:rPr>
                      <w:b/>
                    </w:rPr>
                  </w:pPr>
                  <w:r w:rsidRPr="0003150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A0C90B2" w14:textId="77777777" w:rsidR="00E0767F" w:rsidRPr="0003150E" w:rsidRDefault="00E0767F" w:rsidP="00DE1D43">
                  <w:pPr>
                    <w:framePr w:hSpace="180" w:wrap="around" w:vAnchor="text" w:hAnchor="margin" w:y="-128"/>
                    <w:spacing w:after="0"/>
                    <w:jc w:val="right"/>
                    <w:rPr>
                      <w:b/>
                    </w:rPr>
                  </w:pPr>
                  <w:r w:rsidRPr="0003150E">
                    <w:rPr>
                      <w:b/>
                    </w:rPr>
                    <w:t>3,517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F17EE55" w14:textId="77777777" w:rsidR="00E0767F" w:rsidRPr="0003150E" w:rsidRDefault="00E0767F" w:rsidP="00DE1D43">
                  <w:pPr>
                    <w:framePr w:hSpace="180" w:wrap="around" w:vAnchor="text" w:hAnchor="margin" w:y="-128"/>
                    <w:spacing w:after="0"/>
                    <w:jc w:val="right"/>
                    <w:rPr>
                      <w:b/>
                    </w:rPr>
                  </w:pPr>
                  <w:r w:rsidRPr="0003150E">
                    <w:rPr>
                      <w:b/>
                    </w:rPr>
                    <w:t>3,811</w:t>
                  </w:r>
                </w:p>
              </w:tc>
            </w:tr>
          </w:tbl>
          <w:p w14:paraId="250716E2" w14:textId="77777777" w:rsidR="00D8526D" w:rsidRPr="00E97202" w:rsidRDefault="00D8526D" w:rsidP="00D8526D">
            <w:pPr>
              <w:spacing w:before="120"/>
            </w:pPr>
            <w:r w:rsidRPr="00E97202">
              <w:t>In anticipation of reduced funding for the financial year and to minimise the potential deficit, various measures were implemented including:</w:t>
            </w:r>
          </w:p>
          <w:p w14:paraId="1C0597AC"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process efficiencies</w:t>
            </w:r>
          </w:p>
          <w:p w14:paraId="1D986479"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extension of motor vehicle leases due to be renewed</w:t>
            </w:r>
          </w:p>
          <w:p w14:paraId="7A533844"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delaying ICT infrastructure upgrades (overdue)</w:t>
            </w:r>
          </w:p>
          <w:p w14:paraId="65A27F63"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reduced staff training</w:t>
            </w:r>
          </w:p>
          <w:p w14:paraId="25FDEE61"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reduced staff travel to the communities (including by the FRC Commissioner)</w:t>
            </w:r>
          </w:p>
          <w:p w14:paraId="19AECAEB" w14:textId="77777777" w:rsidR="00D8526D" w:rsidRPr="00E97202" w:rsidRDefault="00D8526D" w:rsidP="00D8526D">
            <w:pPr>
              <w:pStyle w:val="ListParagraph"/>
              <w:numPr>
                <w:ilvl w:val="0"/>
                <w:numId w:val="15"/>
              </w:numPr>
              <w:rPr>
                <w:rFonts w:ascii="Arial" w:hAnsi="Arial" w:cs="Arial"/>
                <w:sz w:val="20"/>
                <w:szCs w:val="20"/>
              </w:rPr>
            </w:pPr>
            <w:r w:rsidRPr="00E97202">
              <w:rPr>
                <w:rFonts w:ascii="Arial" w:hAnsi="Arial" w:cs="Arial"/>
                <w:sz w:val="20"/>
                <w:szCs w:val="20"/>
              </w:rPr>
              <w:t>rationalisation of communication costs.</w:t>
            </w:r>
          </w:p>
          <w:p w14:paraId="61AB5E61" w14:textId="77777777" w:rsidR="00D8526D" w:rsidRPr="00E97202" w:rsidRDefault="00D8526D" w:rsidP="00D8526D">
            <w:pPr>
              <w:spacing w:before="120"/>
            </w:pPr>
            <w:r w:rsidRPr="00E97202">
              <w:t>In addition, employee expenses decreased due to cancellations in scheduled conferencing in some communities, vacancies carried and the Deputy Commissioner appointment ending in December 2018.</w:t>
            </w:r>
          </w:p>
          <w:p w14:paraId="0E83DC82" w14:textId="5C53E2AB" w:rsidR="00E0767F" w:rsidRPr="0003150E" w:rsidRDefault="00D8526D" w:rsidP="00615CFD">
            <w:pPr>
              <w:spacing w:before="120"/>
            </w:pPr>
            <w:r w:rsidRPr="00E97202">
              <w:t>Supplies and services costs also reduced due specifically to a reduction in consultancy engagements and temporary staff engagements. Depreciation and amortisation expenditure decreased as the Commission’s Customer Relationship Management software was fully amortised in 2017-18.</w:t>
            </w:r>
          </w:p>
        </w:tc>
      </w:tr>
    </w:tbl>
    <w:p w14:paraId="20C84FBE" w14:textId="77777777" w:rsidR="00E0767F" w:rsidRPr="008E7494" w:rsidRDefault="00E0767F" w:rsidP="00E0767F">
      <w:pPr>
        <w:ind w:left="-993"/>
      </w:pPr>
    </w:p>
    <w:tbl>
      <w:tblPr>
        <w:tblW w:w="11128" w:type="dxa"/>
        <w:tblLayout w:type="fixed"/>
        <w:tblLook w:val="01E0" w:firstRow="1" w:lastRow="1" w:firstColumn="1" w:lastColumn="1" w:noHBand="0" w:noVBand="0"/>
      </w:tblPr>
      <w:tblGrid>
        <w:gridCol w:w="5564"/>
        <w:gridCol w:w="5564"/>
      </w:tblGrid>
      <w:tr w:rsidR="00E0767F" w:rsidRPr="008E7494" w14:paraId="260C90AD" w14:textId="77777777" w:rsidTr="00703AF9">
        <w:tc>
          <w:tcPr>
            <w:tcW w:w="5564" w:type="dxa"/>
          </w:tcPr>
          <w:p w14:paraId="272BD4FA" w14:textId="4DEA53CD" w:rsidR="007A241F" w:rsidRPr="003644F3" w:rsidRDefault="007A241F" w:rsidP="007A241F">
            <w:pPr>
              <w:widowControl w:val="0"/>
              <w:autoSpaceDE w:val="0"/>
              <w:autoSpaceDN w:val="0"/>
              <w:adjustRightInd w:val="0"/>
              <w:spacing w:before="60" w:line="240" w:lineRule="auto"/>
              <w:ind w:left="851" w:hanging="851"/>
              <w:rPr>
                <w:rFonts w:ascii="Helvetica" w:hAnsi="Helvetica" w:cs="Helvetica"/>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0</w:t>
            </w:r>
            <w:r w:rsidRPr="00447E70">
              <w:rPr>
                <w:rFonts w:ascii="Helvetica" w:hAnsi="Helvetica" w:cs="Helvetica"/>
                <w:b/>
                <w:bCs/>
                <w:sz w:val="17"/>
                <w:szCs w:val="17"/>
                <w:lang w:val="en-US"/>
              </w:rPr>
              <w:t xml:space="preserve">: </w:t>
            </w:r>
            <w:r>
              <w:rPr>
                <w:rFonts w:ascii="Helvetica" w:hAnsi="Helvetica" w:cs="Helvetica"/>
                <w:b/>
                <w:bCs/>
                <w:sz w:val="17"/>
                <w:szCs w:val="17"/>
                <w:lang w:val="en-US"/>
              </w:rPr>
              <w:t>Expenses by category and percentage of total expenditure 1 July 2018 to 30 June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39"/>
              <w:gridCol w:w="1168"/>
            </w:tblGrid>
            <w:tr w:rsidR="007A241F" w:rsidRPr="0096471A" w14:paraId="445C3B89" w14:textId="77777777" w:rsidTr="00B25249">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963736" w14:textId="77777777" w:rsidR="007A241F" w:rsidRPr="00E20D5A" w:rsidRDefault="007A241F" w:rsidP="007A241F">
                  <w:pPr>
                    <w:spacing w:after="0" w:line="240" w:lineRule="auto"/>
                    <w:rPr>
                      <w:b/>
                      <w:sz w:val="16"/>
                      <w:szCs w:val="16"/>
                    </w:rPr>
                  </w:pPr>
                  <w:r w:rsidRPr="00E20D5A">
                    <w:rPr>
                      <w:b/>
                      <w:sz w:val="16"/>
                      <w:szCs w:val="16"/>
                    </w:rPr>
                    <w:t>Category</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38D0FBE4" w14:textId="77777777" w:rsidR="007A241F" w:rsidRPr="00E20D5A" w:rsidRDefault="007A241F" w:rsidP="007A241F">
                  <w:pPr>
                    <w:spacing w:after="0" w:line="240" w:lineRule="auto"/>
                    <w:jc w:val="right"/>
                    <w:rPr>
                      <w:b/>
                      <w:sz w:val="16"/>
                      <w:szCs w:val="16"/>
                    </w:rPr>
                  </w:pPr>
                  <w:r w:rsidRPr="00E20D5A">
                    <w:rPr>
                      <w:b/>
                      <w:sz w:val="16"/>
                      <w:szCs w:val="16"/>
                    </w:rPr>
                    <w:t>Percentage</w:t>
                  </w:r>
                </w:p>
              </w:tc>
            </w:tr>
            <w:tr w:rsidR="00140D6A" w:rsidRPr="0096471A" w14:paraId="2895BB3B"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164CB37" w14:textId="77777777" w:rsidR="00140D6A" w:rsidRPr="0096471A" w:rsidRDefault="00140D6A" w:rsidP="00140D6A">
                  <w:pPr>
                    <w:spacing w:after="0" w:line="240" w:lineRule="auto"/>
                    <w:rPr>
                      <w:sz w:val="16"/>
                      <w:szCs w:val="16"/>
                    </w:rPr>
                  </w:pPr>
                  <w:r>
                    <w:rPr>
                      <w:sz w:val="16"/>
                      <w:szCs w:val="16"/>
                    </w:rPr>
                    <w:t>Employee salaries – FRC staff</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2D4CBA8" w14:textId="2B3A517F" w:rsidR="00140D6A" w:rsidRPr="00140D6A" w:rsidRDefault="00140D6A" w:rsidP="00140D6A">
                  <w:pPr>
                    <w:spacing w:after="0" w:line="240" w:lineRule="auto"/>
                    <w:jc w:val="right"/>
                    <w:rPr>
                      <w:sz w:val="16"/>
                      <w:szCs w:val="16"/>
                    </w:rPr>
                  </w:pPr>
                  <w:r w:rsidRPr="00140D6A">
                    <w:rPr>
                      <w:rFonts w:cs="Arial"/>
                      <w:sz w:val="16"/>
                      <w:szCs w:val="16"/>
                    </w:rPr>
                    <w:t>49.43%</w:t>
                  </w:r>
                </w:p>
              </w:tc>
            </w:tr>
            <w:tr w:rsidR="00140D6A" w:rsidRPr="0096471A" w14:paraId="5A28D429"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3CA00D" w14:textId="77777777" w:rsidR="00140D6A" w:rsidRDefault="00140D6A" w:rsidP="00140D6A">
                  <w:pPr>
                    <w:spacing w:after="0" w:line="240" w:lineRule="auto"/>
                    <w:rPr>
                      <w:sz w:val="16"/>
                      <w:szCs w:val="16"/>
                    </w:rPr>
                  </w:pPr>
                  <w:r>
                    <w:rPr>
                      <w:sz w:val="16"/>
                      <w:szCs w:val="16"/>
                    </w:rPr>
                    <w:t>Employee salaries – Local Commissioners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7D4CF7E" w14:textId="77553F50" w:rsidR="00140D6A" w:rsidRPr="00140D6A" w:rsidRDefault="00140D6A" w:rsidP="00140D6A">
                  <w:pPr>
                    <w:spacing w:after="0" w:line="240" w:lineRule="auto"/>
                    <w:jc w:val="right"/>
                    <w:rPr>
                      <w:sz w:val="16"/>
                      <w:szCs w:val="16"/>
                    </w:rPr>
                  </w:pPr>
                  <w:r w:rsidRPr="00140D6A">
                    <w:rPr>
                      <w:rFonts w:cs="Arial"/>
                      <w:sz w:val="16"/>
                      <w:szCs w:val="16"/>
                    </w:rPr>
                    <w:t>12.14%</w:t>
                  </w:r>
                </w:p>
              </w:tc>
            </w:tr>
            <w:tr w:rsidR="00140D6A" w:rsidRPr="0096471A" w14:paraId="0E90F51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601C5B" w14:textId="77777777" w:rsidR="00140D6A" w:rsidRPr="0096471A" w:rsidRDefault="00140D6A" w:rsidP="00140D6A">
                  <w:pPr>
                    <w:spacing w:after="0" w:line="240" w:lineRule="auto"/>
                    <w:rPr>
                      <w:sz w:val="16"/>
                      <w:szCs w:val="16"/>
                    </w:rPr>
                  </w:pPr>
                  <w:r>
                    <w:rPr>
                      <w:sz w:val="16"/>
                      <w:szCs w:val="16"/>
                    </w:rPr>
                    <w:t>Employee on costs – FRC staff</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12CCBBD" w14:textId="1C6AD986" w:rsidR="00140D6A" w:rsidRPr="00140D6A" w:rsidRDefault="00140D6A" w:rsidP="00140D6A">
                  <w:pPr>
                    <w:spacing w:after="0" w:line="240" w:lineRule="auto"/>
                    <w:jc w:val="right"/>
                    <w:rPr>
                      <w:sz w:val="16"/>
                      <w:szCs w:val="16"/>
                    </w:rPr>
                  </w:pPr>
                  <w:r w:rsidRPr="00140D6A">
                    <w:rPr>
                      <w:rFonts w:cs="Arial"/>
                      <w:sz w:val="16"/>
                      <w:szCs w:val="16"/>
                    </w:rPr>
                    <w:t>8.88%</w:t>
                  </w:r>
                </w:p>
              </w:tc>
            </w:tr>
            <w:tr w:rsidR="00140D6A" w:rsidRPr="0096471A" w14:paraId="17A5EF0F"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A174E9E" w14:textId="77777777" w:rsidR="00140D6A" w:rsidRDefault="00140D6A" w:rsidP="00140D6A">
                  <w:pPr>
                    <w:spacing w:after="0" w:line="240" w:lineRule="auto"/>
                    <w:rPr>
                      <w:sz w:val="16"/>
                      <w:szCs w:val="16"/>
                    </w:rPr>
                  </w:pPr>
                  <w:r>
                    <w:rPr>
                      <w:sz w:val="16"/>
                      <w:szCs w:val="16"/>
                    </w:rPr>
                    <w:t>Employee on costs – Local Commissioners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2FE662" w14:textId="4A27AE17" w:rsidR="00140D6A" w:rsidRPr="00140D6A" w:rsidRDefault="00140D6A" w:rsidP="00140D6A">
                  <w:pPr>
                    <w:spacing w:after="0" w:line="240" w:lineRule="auto"/>
                    <w:jc w:val="right"/>
                    <w:rPr>
                      <w:sz w:val="16"/>
                      <w:szCs w:val="16"/>
                    </w:rPr>
                  </w:pPr>
                  <w:r w:rsidRPr="00140D6A">
                    <w:rPr>
                      <w:rFonts w:cs="Arial"/>
                      <w:sz w:val="16"/>
                      <w:szCs w:val="16"/>
                    </w:rPr>
                    <w:t>2.14%</w:t>
                  </w:r>
                </w:p>
              </w:tc>
            </w:tr>
            <w:tr w:rsidR="00140D6A" w:rsidRPr="0096471A" w14:paraId="3B321B84"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D0C16E" w14:textId="77777777" w:rsidR="00140D6A" w:rsidRDefault="00140D6A" w:rsidP="00140D6A">
                  <w:pPr>
                    <w:spacing w:after="0" w:line="240" w:lineRule="auto"/>
                    <w:rPr>
                      <w:sz w:val="16"/>
                      <w:szCs w:val="16"/>
                    </w:rPr>
                  </w:pPr>
                  <w:r>
                    <w:rPr>
                      <w:sz w:val="16"/>
                      <w:szCs w:val="16"/>
                    </w:rPr>
                    <w:t>Other employment costs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996E88" w14:textId="6F4E7BF9" w:rsidR="00140D6A" w:rsidRPr="00140D6A" w:rsidRDefault="00140D6A" w:rsidP="00140D6A">
                  <w:pPr>
                    <w:spacing w:after="0" w:line="240" w:lineRule="auto"/>
                    <w:jc w:val="right"/>
                    <w:rPr>
                      <w:sz w:val="16"/>
                      <w:szCs w:val="16"/>
                    </w:rPr>
                  </w:pPr>
                  <w:r w:rsidRPr="00140D6A">
                    <w:rPr>
                      <w:rFonts w:cs="Arial"/>
                      <w:sz w:val="16"/>
                      <w:szCs w:val="16"/>
                    </w:rPr>
                    <w:t>0.95%</w:t>
                  </w:r>
                </w:p>
              </w:tc>
            </w:tr>
            <w:tr w:rsidR="00140D6A" w:rsidRPr="0096471A" w14:paraId="031B8F0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C567511" w14:textId="77777777" w:rsidR="00140D6A" w:rsidRPr="0096471A" w:rsidRDefault="00140D6A" w:rsidP="00140D6A">
                  <w:pPr>
                    <w:spacing w:after="0" w:line="240" w:lineRule="auto"/>
                    <w:rPr>
                      <w:sz w:val="16"/>
                      <w:szCs w:val="16"/>
                    </w:rPr>
                  </w:pPr>
                  <w:r>
                    <w:rPr>
                      <w:sz w:val="16"/>
                      <w:szCs w:val="16"/>
                    </w:rPr>
                    <w:t>Communications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BD5C60B" w14:textId="30F6F492" w:rsidR="00140D6A" w:rsidRPr="00140D6A" w:rsidRDefault="00140D6A" w:rsidP="00140D6A">
                  <w:pPr>
                    <w:spacing w:after="0" w:line="240" w:lineRule="auto"/>
                    <w:jc w:val="right"/>
                    <w:rPr>
                      <w:sz w:val="16"/>
                      <w:szCs w:val="16"/>
                    </w:rPr>
                  </w:pPr>
                  <w:r w:rsidRPr="00140D6A">
                    <w:rPr>
                      <w:rFonts w:cs="Arial"/>
                      <w:sz w:val="16"/>
                      <w:szCs w:val="16"/>
                    </w:rPr>
                    <w:t>0.36%</w:t>
                  </w:r>
                </w:p>
              </w:tc>
            </w:tr>
            <w:tr w:rsidR="00140D6A" w:rsidRPr="0096471A" w14:paraId="74834563"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34AE346" w14:textId="77777777" w:rsidR="00140D6A" w:rsidRPr="0096471A" w:rsidRDefault="00140D6A" w:rsidP="00140D6A">
                  <w:pPr>
                    <w:spacing w:after="0" w:line="240" w:lineRule="auto"/>
                    <w:rPr>
                      <w:sz w:val="16"/>
                      <w:szCs w:val="16"/>
                    </w:rPr>
                  </w:pPr>
                  <w:r>
                    <w:rPr>
                      <w:sz w:val="16"/>
                      <w:szCs w:val="16"/>
                    </w:rPr>
                    <w:t>Internet &amp; IT</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FDC534" w14:textId="0D115B49" w:rsidR="00140D6A" w:rsidRPr="00140D6A" w:rsidRDefault="00140D6A" w:rsidP="00140D6A">
                  <w:pPr>
                    <w:spacing w:after="0" w:line="240" w:lineRule="auto"/>
                    <w:jc w:val="right"/>
                    <w:rPr>
                      <w:sz w:val="16"/>
                      <w:szCs w:val="16"/>
                    </w:rPr>
                  </w:pPr>
                  <w:r w:rsidRPr="00140D6A">
                    <w:rPr>
                      <w:rFonts w:cs="Arial"/>
                      <w:sz w:val="16"/>
                      <w:szCs w:val="16"/>
                    </w:rPr>
                    <w:t>5.75%</w:t>
                  </w:r>
                </w:p>
              </w:tc>
            </w:tr>
            <w:tr w:rsidR="00140D6A" w:rsidRPr="0096471A" w14:paraId="5D28BA93"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09DD93" w14:textId="77777777" w:rsidR="00140D6A" w:rsidRPr="0096471A" w:rsidRDefault="00140D6A" w:rsidP="00140D6A">
                  <w:pPr>
                    <w:spacing w:after="0" w:line="240" w:lineRule="auto"/>
                    <w:rPr>
                      <w:sz w:val="16"/>
                      <w:szCs w:val="16"/>
                    </w:rPr>
                  </w:pPr>
                  <w:r>
                    <w:rPr>
                      <w:sz w:val="16"/>
                      <w:szCs w:val="16"/>
                    </w:rPr>
                    <w:t>Motor vehicle</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4863EEB" w14:textId="6DE7B59E" w:rsidR="00140D6A" w:rsidRPr="00140D6A" w:rsidRDefault="00140D6A" w:rsidP="00140D6A">
                  <w:pPr>
                    <w:spacing w:after="0" w:line="240" w:lineRule="auto"/>
                    <w:jc w:val="right"/>
                    <w:rPr>
                      <w:sz w:val="16"/>
                      <w:szCs w:val="16"/>
                    </w:rPr>
                  </w:pPr>
                  <w:r w:rsidRPr="00140D6A">
                    <w:rPr>
                      <w:rFonts w:cs="Arial"/>
                      <w:sz w:val="16"/>
                      <w:szCs w:val="16"/>
                    </w:rPr>
                    <w:t>1.42%</w:t>
                  </w:r>
                </w:p>
              </w:tc>
            </w:tr>
            <w:tr w:rsidR="00140D6A" w:rsidRPr="0096471A" w14:paraId="0A96A968"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8A8752" w14:textId="77777777" w:rsidR="00140D6A" w:rsidRPr="0096471A" w:rsidRDefault="00140D6A" w:rsidP="00140D6A">
                  <w:pPr>
                    <w:spacing w:after="0" w:line="240" w:lineRule="auto"/>
                    <w:rPr>
                      <w:sz w:val="16"/>
                      <w:szCs w:val="16"/>
                    </w:rPr>
                  </w:pPr>
                  <w:r>
                    <w:rPr>
                      <w:sz w:val="16"/>
                      <w:szCs w:val="16"/>
                    </w:rPr>
                    <w:t>Property</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376408A" w14:textId="6D2F4DC8" w:rsidR="00140D6A" w:rsidRPr="00140D6A" w:rsidRDefault="00140D6A" w:rsidP="00140D6A">
                  <w:pPr>
                    <w:spacing w:after="0" w:line="240" w:lineRule="auto"/>
                    <w:jc w:val="right"/>
                    <w:rPr>
                      <w:sz w:val="16"/>
                      <w:szCs w:val="16"/>
                    </w:rPr>
                  </w:pPr>
                  <w:r w:rsidRPr="00140D6A">
                    <w:rPr>
                      <w:rFonts w:cs="Arial"/>
                      <w:sz w:val="16"/>
                      <w:szCs w:val="16"/>
                    </w:rPr>
                    <w:t>6.36%</w:t>
                  </w:r>
                </w:p>
              </w:tc>
            </w:tr>
            <w:tr w:rsidR="00140D6A" w:rsidRPr="0096471A" w14:paraId="13F4D8BD"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0EDA1E5" w14:textId="77777777" w:rsidR="00140D6A" w:rsidRPr="0096471A" w:rsidRDefault="00140D6A" w:rsidP="00140D6A">
                  <w:pPr>
                    <w:spacing w:after="0" w:line="240" w:lineRule="auto"/>
                    <w:rPr>
                      <w:sz w:val="16"/>
                      <w:szCs w:val="16"/>
                    </w:rPr>
                  </w:pPr>
                  <w:r>
                    <w:rPr>
                      <w:sz w:val="16"/>
                      <w:szCs w:val="16"/>
                    </w:rPr>
                    <w:t>Travel</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68A0FD" w14:textId="4AC7D456" w:rsidR="00140D6A" w:rsidRPr="00140D6A" w:rsidRDefault="00140D6A" w:rsidP="00140D6A">
                  <w:pPr>
                    <w:spacing w:after="0" w:line="240" w:lineRule="auto"/>
                    <w:jc w:val="right"/>
                    <w:rPr>
                      <w:sz w:val="16"/>
                      <w:szCs w:val="16"/>
                    </w:rPr>
                  </w:pPr>
                  <w:r w:rsidRPr="00140D6A">
                    <w:rPr>
                      <w:rFonts w:cs="Arial"/>
                      <w:sz w:val="16"/>
                      <w:szCs w:val="16"/>
                    </w:rPr>
                    <w:t>5.58%</w:t>
                  </w:r>
                </w:p>
              </w:tc>
            </w:tr>
            <w:tr w:rsidR="00140D6A" w:rsidRPr="0096471A" w14:paraId="5E51A08B"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2B816F" w14:textId="77777777" w:rsidR="00140D6A" w:rsidRPr="0096471A" w:rsidRDefault="00140D6A" w:rsidP="00140D6A">
                  <w:pPr>
                    <w:spacing w:after="0" w:line="240" w:lineRule="auto"/>
                    <w:rPr>
                      <w:sz w:val="16"/>
                      <w:szCs w:val="16"/>
                    </w:rPr>
                  </w:pPr>
                  <w:r>
                    <w:rPr>
                      <w:sz w:val="16"/>
                      <w:szCs w:val="16"/>
                    </w:rPr>
                    <w:t>General operating</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71150B3" w14:textId="6F29C99F" w:rsidR="00140D6A" w:rsidRPr="00140D6A" w:rsidRDefault="00140D6A" w:rsidP="00140D6A">
                  <w:pPr>
                    <w:spacing w:after="0" w:line="240" w:lineRule="auto"/>
                    <w:jc w:val="right"/>
                    <w:rPr>
                      <w:sz w:val="16"/>
                      <w:szCs w:val="16"/>
                    </w:rPr>
                  </w:pPr>
                  <w:r w:rsidRPr="00140D6A">
                    <w:rPr>
                      <w:rFonts w:cs="Arial"/>
                      <w:sz w:val="16"/>
                      <w:szCs w:val="16"/>
                    </w:rPr>
                    <w:t>5.44%</w:t>
                  </w:r>
                </w:p>
              </w:tc>
            </w:tr>
            <w:tr w:rsidR="00140D6A" w:rsidRPr="0096471A" w14:paraId="3D9EEF5E" w14:textId="77777777" w:rsidTr="00572215">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88D334" w14:textId="77777777" w:rsidR="00140D6A" w:rsidRPr="0096471A" w:rsidRDefault="00140D6A" w:rsidP="00140D6A">
                  <w:pPr>
                    <w:spacing w:after="0" w:line="240" w:lineRule="auto"/>
                    <w:rPr>
                      <w:sz w:val="16"/>
                      <w:szCs w:val="16"/>
                    </w:rPr>
                  </w:pPr>
                  <w:r>
                    <w:rPr>
                      <w:sz w:val="16"/>
                      <w:szCs w:val="16"/>
                    </w:rPr>
                    <w:t>Other expenses</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81B6282" w14:textId="3128C58F" w:rsidR="00140D6A" w:rsidRPr="00140D6A" w:rsidRDefault="00140D6A" w:rsidP="00140D6A">
                  <w:pPr>
                    <w:spacing w:after="0" w:line="240" w:lineRule="auto"/>
                    <w:jc w:val="right"/>
                    <w:rPr>
                      <w:sz w:val="16"/>
                      <w:szCs w:val="16"/>
                    </w:rPr>
                  </w:pPr>
                  <w:r w:rsidRPr="00140D6A">
                    <w:rPr>
                      <w:rFonts w:cs="Arial"/>
                      <w:sz w:val="16"/>
                      <w:szCs w:val="16"/>
                    </w:rPr>
                    <w:t>1.55%</w:t>
                  </w:r>
                </w:p>
              </w:tc>
            </w:tr>
            <w:tr w:rsidR="007A241F" w:rsidRPr="0096471A" w14:paraId="19416FBF" w14:textId="77777777" w:rsidTr="00B25249">
              <w:trPr>
                <w:trHeight w:hRule="exact" w:val="340"/>
              </w:trPr>
              <w:tc>
                <w:tcPr>
                  <w:tcW w:w="353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551B055" w14:textId="77777777" w:rsidR="007A241F" w:rsidRPr="00E20D5A" w:rsidRDefault="007A241F" w:rsidP="007A241F">
                  <w:pPr>
                    <w:spacing w:after="0" w:line="240" w:lineRule="auto"/>
                    <w:rPr>
                      <w:b/>
                      <w:sz w:val="16"/>
                      <w:szCs w:val="16"/>
                    </w:rPr>
                  </w:pPr>
                  <w:r w:rsidRPr="00E20D5A">
                    <w:rPr>
                      <w:b/>
                      <w:sz w:val="16"/>
                      <w:szCs w:val="16"/>
                    </w:rPr>
                    <w:t>Total</w:t>
                  </w:r>
                </w:p>
              </w:tc>
              <w:tc>
                <w:tcPr>
                  <w:tcW w:w="11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bottom"/>
                </w:tcPr>
                <w:p w14:paraId="79E675C8" w14:textId="77777777" w:rsidR="007A241F" w:rsidRPr="00E20D5A" w:rsidRDefault="007A241F" w:rsidP="007A241F">
                  <w:pPr>
                    <w:spacing w:after="0" w:line="240" w:lineRule="auto"/>
                    <w:jc w:val="right"/>
                    <w:rPr>
                      <w:b/>
                      <w:sz w:val="16"/>
                      <w:szCs w:val="16"/>
                    </w:rPr>
                  </w:pPr>
                  <w:r w:rsidRPr="00E20D5A">
                    <w:rPr>
                      <w:b/>
                      <w:sz w:val="16"/>
                      <w:szCs w:val="16"/>
                    </w:rPr>
                    <w:t>100</w:t>
                  </w:r>
                  <w:r>
                    <w:rPr>
                      <w:b/>
                      <w:sz w:val="16"/>
                      <w:szCs w:val="16"/>
                    </w:rPr>
                    <w:t>.0</w:t>
                  </w:r>
                  <w:r w:rsidRPr="00E20D5A">
                    <w:rPr>
                      <w:b/>
                      <w:sz w:val="16"/>
                      <w:szCs w:val="16"/>
                    </w:rPr>
                    <w:t>%</w:t>
                  </w:r>
                </w:p>
              </w:tc>
            </w:tr>
          </w:tbl>
          <w:p w14:paraId="7E68B00D" w14:textId="77777777" w:rsidR="007A241F" w:rsidRPr="008E7494" w:rsidRDefault="007A241F" w:rsidP="007A241F">
            <w:pPr>
              <w:widowControl w:val="0"/>
              <w:autoSpaceDE w:val="0"/>
              <w:autoSpaceDN w:val="0"/>
              <w:adjustRightInd w:val="0"/>
              <w:spacing w:line="240" w:lineRule="auto"/>
              <w:ind w:left="851" w:hanging="851"/>
              <w:rPr>
                <w:rFonts w:ascii="Helvetica" w:hAnsi="Helvetica" w:cs="Helvetica"/>
                <w:sz w:val="17"/>
                <w:szCs w:val="17"/>
                <w:lang w:val="en-US"/>
              </w:rPr>
            </w:pPr>
          </w:p>
          <w:p w14:paraId="1136CF5F" w14:textId="77777777" w:rsidR="007A241F" w:rsidRPr="008E7494" w:rsidRDefault="007A241F" w:rsidP="007A241F">
            <w:pPr>
              <w:pStyle w:val="Heading3"/>
              <w:rPr>
                <w:rFonts w:cs="Arial"/>
              </w:rPr>
            </w:pPr>
            <w:r w:rsidRPr="008E7494">
              <w:rPr>
                <w:rFonts w:cs="Arial"/>
              </w:rPr>
              <w:t>Remote location and Cairns registry expenditure</w:t>
            </w:r>
          </w:p>
          <w:p w14:paraId="7EBE31AB" w14:textId="0B53BE4E" w:rsidR="007A241F" w:rsidRPr="00DB7B7B" w:rsidRDefault="007A241F" w:rsidP="007A241F">
            <w:pPr>
              <w:widowControl w:val="0"/>
              <w:autoSpaceDE w:val="0"/>
              <w:autoSpaceDN w:val="0"/>
              <w:adjustRightInd w:val="0"/>
              <w:spacing w:before="60" w:line="240" w:lineRule="auto"/>
              <w:ind w:left="851" w:hanging="851"/>
              <w:rPr>
                <w:rFonts w:ascii="Helvetica" w:hAnsi="Helvetica" w:cs="Helvetica"/>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1</w:t>
            </w:r>
            <w:r w:rsidRPr="00447E70">
              <w:rPr>
                <w:rFonts w:ascii="Helvetica" w:hAnsi="Helvetica" w:cs="Helvetica"/>
                <w:b/>
                <w:bCs/>
                <w:sz w:val="17"/>
                <w:szCs w:val="17"/>
                <w:lang w:val="en-US"/>
              </w:rPr>
              <w:t xml:space="preserve">: </w:t>
            </w:r>
            <w:r w:rsidRPr="002E1F47">
              <w:rPr>
                <w:rFonts w:ascii="Helvetica" w:hAnsi="Helvetica" w:cs="Helvetica"/>
                <w:b/>
                <w:bCs/>
                <w:sz w:val="17"/>
                <w:szCs w:val="17"/>
                <w:lang w:val="en-US"/>
              </w:rPr>
              <w:t>Operating costs</w:t>
            </w:r>
            <w:r>
              <w:rPr>
                <w:rFonts w:ascii="Helvetica" w:hAnsi="Helvetica" w:cs="Helvetica"/>
                <w:b/>
                <w:bCs/>
                <w:sz w:val="17"/>
                <w:szCs w:val="17"/>
                <w:lang w:val="en-US"/>
              </w:rPr>
              <w:t xml:space="preserve"> by remote location</w:t>
            </w:r>
            <w:r>
              <w:rPr>
                <w:rFonts w:ascii="Helvetica" w:hAnsi="Helvetica" w:cs="Helvetica"/>
                <w:b/>
                <w:bCs/>
                <w:sz w:val="17"/>
                <w:szCs w:val="17"/>
                <w:lang w:val="en-US"/>
              </w:rPr>
              <w:br/>
              <w:t>1 July 2018 to 30 June 2019.</w:t>
            </w:r>
          </w:p>
          <w:tbl>
            <w:tblPr>
              <w:tblW w:w="5098" w:type="dxa"/>
              <w:tblLayout w:type="fixed"/>
              <w:tblLook w:val="04A0" w:firstRow="1" w:lastRow="0" w:firstColumn="1" w:lastColumn="0" w:noHBand="0" w:noVBand="1"/>
            </w:tblPr>
            <w:tblGrid>
              <w:gridCol w:w="2032"/>
              <w:gridCol w:w="786"/>
              <w:gridCol w:w="764"/>
              <w:gridCol w:w="764"/>
              <w:gridCol w:w="752"/>
            </w:tblGrid>
            <w:tr w:rsidR="007A241F" w:rsidRPr="00496ECA" w14:paraId="1B67CFF7" w14:textId="77777777" w:rsidTr="00B25249">
              <w:trPr>
                <w:trHeight w:val="253"/>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61847C3B" w14:textId="77777777" w:rsidR="007A241F" w:rsidRPr="00496ECA" w:rsidRDefault="007A241F" w:rsidP="007A241F">
                  <w:pPr>
                    <w:spacing w:after="0" w:line="240" w:lineRule="auto"/>
                    <w:rPr>
                      <w:rFonts w:cs="Arial"/>
                      <w:b/>
                      <w:bCs/>
                      <w:sz w:val="16"/>
                      <w:szCs w:val="16"/>
                      <w:lang w:eastAsia="en-AU"/>
                    </w:rPr>
                  </w:pPr>
                  <w:r w:rsidRPr="00496ECA">
                    <w:rPr>
                      <w:rFonts w:cs="Arial"/>
                      <w:b/>
                      <w:bCs/>
                      <w:sz w:val="16"/>
                      <w:szCs w:val="16"/>
                      <w:lang w:eastAsia="en-AU"/>
                    </w:rPr>
                    <w:t>Community</w:t>
                  </w:r>
                </w:p>
              </w:tc>
              <w:tc>
                <w:tcPr>
                  <w:tcW w:w="786" w:type="dxa"/>
                  <w:tcBorders>
                    <w:top w:val="single" w:sz="4" w:space="0" w:color="auto"/>
                    <w:left w:val="nil"/>
                    <w:bottom w:val="single" w:sz="4" w:space="0" w:color="auto"/>
                    <w:right w:val="single" w:sz="4" w:space="0" w:color="auto"/>
                  </w:tcBorders>
                  <w:vAlign w:val="center"/>
                  <w:hideMark/>
                </w:tcPr>
                <w:p w14:paraId="329EE13D"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1</w:t>
                  </w:r>
                </w:p>
              </w:tc>
              <w:tc>
                <w:tcPr>
                  <w:tcW w:w="764" w:type="dxa"/>
                  <w:tcBorders>
                    <w:top w:val="single" w:sz="4" w:space="0" w:color="auto"/>
                    <w:left w:val="nil"/>
                    <w:bottom w:val="single" w:sz="4" w:space="0" w:color="auto"/>
                    <w:right w:val="single" w:sz="4" w:space="0" w:color="auto"/>
                  </w:tcBorders>
                  <w:vAlign w:val="center"/>
                  <w:hideMark/>
                </w:tcPr>
                <w:p w14:paraId="1433BA07"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2</w:t>
                  </w:r>
                </w:p>
              </w:tc>
              <w:tc>
                <w:tcPr>
                  <w:tcW w:w="764" w:type="dxa"/>
                  <w:tcBorders>
                    <w:top w:val="single" w:sz="4" w:space="0" w:color="auto"/>
                    <w:left w:val="nil"/>
                    <w:bottom w:val="single" w:sz="4" w:space="0" w:color="auto"/>
                    <w:right w:val="single" w:sz="4" w:space="0" w:color="auto"/>
                  </w:tcBorders>
                  <w:vAlign w:val="center"/>
                  <w:hideMark/>
                </w:tcPr>
                <w:p w14:paraId="1F74625B"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3</w:t>
                  </w:r>
                </w:p>
              </w:tc>
              <w:tc>
                <w:tcPr>
                  <w:tcW w:w="752" w:type="dxa"/>
                  <w:tcBorders>
                    <w:top w:val="single" w:sz="4" w:space="0" w:color="auto"/>
                    <w:left w:val="nil"/>
                    <w:bottom w:val="single" w:sz="4" w:space="0" w:color="auto"/>
                    <w:right w:val="single" w:sz="4" w:space="0" w:color="auto"/>
                  </w:tcBorders>
                  <w:vAlign w:val="center"/>
                  <w:hideMark/>
                </w:tcPr>
                <w:p w14:paraId="4EEDFF4B"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4</w:t>
                  </w:r>
                </w:p>
              </w:tc>
            </w:tr>
            <w:tr w:rsidR="0066001C" w:rsidRPr="00496ECA" w14:paraId="2AD1FB97"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78A209E6"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Aurukun</w:t>
                  </w:r>
                </w:p>
              </w:tc>
              <w:tc>
                <w:tcPr>
                  <w:tcW w:w="786" w:type="dxa"/>
                  <w:tcBorders>
                    <w:top w:val="nil"/>
                    <w:left w:val="nil"/>
                    <w:bottom w:val="single" w:sz="4" w:space="0" w:color="auto"/>
                    <w:right w:val="single" w:sz="4" w:space="0" w:color="auto"/>
                  </w:tcBorders>
                  <w:vAlign w:val="center"/>
                </w:tcPr>
                <w:p w14:paraId="7B62AE38" w14:textId="4EFAEC24" w:rsidR="0066001C" w:rsidRPr="0066001C" w:rsidRDefault="0066001C" w:rsidP="0066001C">
                  <w:pPr>
                    <w:spacing w:after="0" w:line="240" w:lineRule="auto"/>
                    <w:jc w:val="right"/>
                    <w:rPr>
                      <w:rFonts w:cs="Arial"/>
                      <w:sz w:val="16"/>
                      <w:szCs w:val="16"/>
                      <w:lang w:eastAsia="en-AU"/>
                    </w:rPr>
                  </w:pPr>
                  <w:r w:rsidRPr="0066001C">
                    <w:rPr>
                      <w:rFonts w:cs="Arial"/>
                      <w:sz w:val="16"/>
                      <w:szCs w:val="16"/>
                    </w:rPr>
                    <w:t>105K</w:t>
                  </w:r>
                </w:p>
              </w:tc>
              <w:tc>
                <w:tcPr>
                  <w:tcW w:w="764" w:type="dxa"/>
                  <w:tcBorders>
                    <w:top w:val="nil"/>
                    <w:left w:val="nil"/>
                    <w:bottom w:val="single" w:sz="4" w:space="0" w:color="auto"/>
                    <w:right w:val="single" w:sz="4" w:space="0" w:color="auto"/>
                  </w:tcBorders>
                  <w:vAlign w:val="center"/>
                </w:tcPr>
                <w:p w14:paraId="13C28951" w14:textId="0B41FFB7" w:rsidR="0066001C" w:rsidRPr="0066001C" w:rsidRDefault="0066001C" w:rsidP="0066001C">
                  <w:pPr>
                    <w:spacing w:after="0" w:line="240" w:lineRule="auto"/>
                    <w:jc w:val="right"/>
                    <w:rPr>
                      <w:rFonts w:cs="Arial"/>
                      <w:sz w:val="16"/>
                      <w:szCs w:val="16"/>
                      <w:lang w:eastAsia="en-AU"/>
                    </w:rPr>
                  </w:pPr>
                  <w:r w:rsidRPr="0066001C">
                    <w:rPr>
                      <w:rFonts w:cs="Arial"/>
                      <w:sz w:val="16"/>
                      <w:szCs w:val="16"/>
                    </w:rPr>
                    <w:t>110K</w:t>
                  </w:r>
                </w:p>
              </w:tc>
              <w:tc>
                <w:tcPr>
                  <w:tcW w:w="764" w:type="dxa"/>
                  <w:tcBorders>
                    <w:top w:val="nil"/>
                    <w:left w:val="nil"/>
                    <w:bottom w:val="single" w:sz="4" w:space="0" w:color="auto"/>
                    <w:right w:val="single" w:sz="4" w:space="0" w:color="auto"/>
                  </w:tcBorders>
                  <w:vAlign w:val="center"/>
                </w:tcPr>
                <w:p w14:paraId="291A9C5A" w14:textId="7DFBD2C3" w:rsidR="0066001C" w:rsidRPr="0066001C" w:rsidRDefault="0066001C" w:rsidP="0066001C">
                  <w:pPr>
                    <w:spacing w:after="0" w:line="240" w:lineRule="auto"/>
                    <w:jc w:val="right"/>
                    <w:rPr>
                      <w:rFonts w:cs="Arial"/>
                      <w:sz w:val="16"/>
                      <w:szCs w:val="16"/>
                      <w:lang w:eastAsia="en-AU"/>
                    </w:rPr>
                  </w:pPr>
                  <w:r w:rsidRPr="0066001C">
                    <w:rPr>
                      <w:rFonts w:cs="Arial"/>
                      <w:sz w:val="16"/>
                      <w:szCs w:val="16"/>
                    </w:rPr>
                    <w:t>105K</w:t>
                  </w:r>
                </w:p>
              </w:tc>
              <w:tc>
                <w:tcPr>
                  <w:tcW w:w="752" w:type="dxa"/>
                  <w:tcBorders>
                    <w:top w:val="nil"/>
                    <w:left w:val="nil"/>
                    <w:bottom w:val="single" w:sz="4" w:space="0" w:color="auto"/>
                    <w:right w:val="single" w:sz="4" w:space="0" w:color="auto"/>
                  </w:tcBorders>
                  <w:vAlign w:val="center"/>
                </w:tcPr>
                <w:p w14:paraId="7CECFDCF" w14:textId="40D18763" w:rsidR="0066001C" w:rsidRPr="0066001C" w:rsidRDefault="0066001C" w:rsidP="0066001C">
                  <w:pPr>
                    <w:spacing w:after="0" w:line="240" w:lineRule="auto"/>
                    <w:jc w:val="right"/>
                    <w:rPr>
                      <w:rFonts w:cs="Arial"/>
                      <w:sz w:val="16"/>
                      <w:szCs w:val="16"/>
                      <w:lang w:eastAsia="en-AU"/>
                    </w:rPr>
                  </w:pPr>
                  <w:r w:rsidRPr="0066001C">
                    <w:rPr>
                      <w:rFonts w:cs="Arial"/>
                      <w:sz w:val="16"/>
                      <w:szCs w:val="16"/>
                    </w:rPr>
                    <w:t>125K</w:t>
                  </w:r>
                </w:p>
              </w:tc>
            </w:tr>
            <w:tr w:rsidR="0066001C" w:rsidRPr="00496ECA" w14:paraId="42345E65"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54ADA067"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Coen</w:t>
                  </w:r>
                </w:p>
              </w:tc>
              <w:tc>
                <w:tcPr>
                  <w:tcW w:w="786" w:type="dxa"/>
                  <w:tcBorders>
                    <w:top w:val="nil"/>
                    <w:left w:val="nil"/>
                    <w:bottom w:val="single" w:sz="4" w:space="0" w:color="auto"/>
                    <w:right w:val="single" w:sz="4" w:space="0" w:color="auto"/>
                  </w:tcBorders>
                  <w:vAlign w:val="center"/>
                </w:tcPr>
                <w:p w14:paraId="23EF7360" w14:textId="4143C73E" w:rsidR="0066001C" w:rsidRPr="0066001C" w:rsidRDefault="0066001C" w:rsidP="0066001C">
                  <w:pPr>
                    <w:spacing w:after="0" w:line="240" w:lineRule="auto"/>
                    <w:jc w:val="right"/>
                    <w:rPr>
                      <w:rFonts w:cs="Arial"/>
                      <w:sz w:val="16"/>
                      <w:szCs w:val="16"/>
                      <w:lang w:eastAsia="en-AU"/>
                    </w:rPr>
                  </w:pPr>
                  <w:r w:rsidRPr="0066001C">
                    <w:rPr>
                      <w:rFonts w:cs="Arial"/>
                      <w:sz w:val="16"/>
                      <w:szCs w:val="16"/>
                    </w:rPr>
                    <w:t>24K</w:t>
                  </w:r>
                </w:p>
              </w:tc>
              <w:tc>
                <w:tcPr>
                  <w:tcW w:w="764" w:type="dxa"/>
                  <w:tcBorders>
                    <w:top w:val="nil"/>
                    <w:left w:val="nil"/>
                    <w:bottom w:val="single" w:sz="4" w:space="0" w:color="auto"/>
                    <w:right w:val="single" w:sz="4" w:space="0" w:color="auto"/>
                  </w:tcBorders>
                  <w:vAlign w:val="center"/>
                </w:tcPr>
                <w:p w14:paraId="3429E931" w14:textId="603F6D0A" w:rsidR="0066001C" w:rsidRPr="0066001C" w:rsidRDefault="0066001C" w:rsidP="0066001C">
                  <w:pPr>
                    <w:spacing w:after="0" w:line="240" w:lineRule="auto"/>
                    <w:jc w:val="right"/>
                    <w:rPr>
                      <w:rFonts w:cs="Arial"/>
                      <w:sz w:val="16"/>
                      <w:szCs w:val="16"/>
                      <w:lang w:eastAsia="en-AU"/>
                    </w:rPr>
                  </w:pPr>
                  <w:r w:rsidRPr="0066001C">
                    <w:rPr>
                      <w:rFonts w:cs="Arial"/>
                      <w:sz w:val="16"/>
                      <w:szCs w:val="16"/>
                    </w:rPr>
                    <w:t>34K</w:t>
                  </w:r>
                </w:p>
              </w:tc>
              <w:tc>
                <w:tcPr>
                  <w:tcW w:w="764" w:type="dxa"/>
                  <w:tcBorders>
                    <w:top w:val="nil"/>
                    <w:left w:val="nil"/>
                    <w:bottom w:val="single" w:sz="4" w:space="0" w:color="auto"/>
                    <w:right w:val="single" w:sz="4" w:space="0" w:color="auto"/>
                  </w:tcBorders>
                  <w:vAlign w:val="center"/>
                </w:tcPr>
                <w:p w14:paraId="46E3C2EF" w14:textId="7C46F876" w:rsidR="0066001C" w:rsidRPr="0066001C" w:rsidRDefault="0066001C" w:rsidP="0066001C">
                  <w:pPr>
                    <w:spacing w:after="0" w:line="240" w:lineRule="auto"/>
                    <w:jc w:val="right"/>
                    <w:rPr>
                      <w:rFonts w:cs="Arial"/>
                      <w:sz w:val="16"/>
                      <w:szCs w:val="16"/>
                      <w:lang w:eastAsia="en-AU"/>
                    </w:rPr>
                  </w:pPr>
                  <w:r w:rsidRPr="0066001C">
                    <w:rPr>
                      <w:rFonts w:cs="Arial"/>
                      <w:sz w:val="16"/>
                      <w:szCs w:val="16"/>
                    </w:rPr>
                    <w:t>23K</w:t>
                  </w:r>
                </w:p>
              </w:tc>
              <w:tc>
                <w:tcPr>
                  <w:tcW w:w="752" w:type="dxa"/>
                  <w:tcBorders>
                    <w:top w:val="nil"/>
                    <w:left w:val="nil"/>
                    <w:bottom w:val="single" w:sz="4" w:space="0" w:color="auto"/>
                    <w:right w:val="single" w:sz="4" w:space="0" w:color="auto"/>
                  </w:tcBorders>
                  <w:vAlign w:val="center"/>
                </w:tcPr>
                <w:p w14:paraId="2ABA2544" w14:textId="49B6D348" w:rsidR="0066001C" w:rsidRPr="0066001C" w:rsidRDefault="0066001C" w:rsidP="0066001C">
                  <w:pPr>
                    <w:spacing w:after="0" w:line="240" w:lineRule="auto"/>
                    <w:jc w:val="right"/>
                    <w:rPr>
                      <w:rFonts w:cs="Arial"/>
                      <w:sz w:val="16"/>
                      <w:szCs w:val="16"/>
                      <w:lang w:eastAsia="en-AU"/>
                    </w:rPr>
                  </w:pPr>
                  <w:r w:rsidRPr="0066001C">
                    <w:rPr>
                      <w:rFonts w:cs="Arial"/>
                      <w:sz w:val="16"/>
                      <w:szCs w:val="16"/>
                    </w:rPr>
                    <w:t>54K</w:t>
                  </w:r>
                </w:p>
              </w:tc>
            </w:tr>
            <w:tr w:rsidR="0066001C" w:rsidRPr="00496ECA" w14:paraId="3408CC8E"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tcPr>
                <w:p w14:paraId="6E162779"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Doomadgee</w:t>
                  </w:r>
                </w:p>
              </w:tc>
              <w:tc>
                <w:tcPr>
                  <w:tcW w:w="786" w:type="dxa"/>
                  <w:tcBorders>
                    <w:top w:val="nil"/>
                    <w:left w:val="nil"/>
                    <w:bottom w:val="single" w:sz="4" w:space="0" w:color="auto"/>
                    <w:right w:val="single" w:sz="4" w:space="0" w:color="auto"/>
                  </w:tcBorders>
                  <w:vAlign w:val="center"/>
                </w:tcPr>
                <w:p w14:paraId="62F5448A" w14:textId="05D45A49" w:rsidR="0066001C" w:rsidRPr="0066001C" w:rsidRDefault="0066001C" w:rsidP="0066001C">
                  <w:pPr>
                    <w:spacing w:after="0" w:line="240" w:lineRule="auto"/>
                    <w:jc w:val="right"/>
                    <w:rPr>
                      <w:rFonts w:cs="Arial"/>
                      <w:sz w:val="16"/>
                      <w:szCs w:val="16"/>
                      <w:lang w:eastAsia="en-AU"/>
                    </w:rPr>
                  </w:pPr>
                  <w:r w:rsidRPr="0066001C">
                    <w:rPr>
                      <w:rFonts w:cs="Arial"/>
                      <w:sz w:val="16"/>
                      <w:szCs w:val="16"/>
                    </w:rPr>
                    <w:t>142K</w:t>
                  </w:r>
                </w:p>
              </w:tc>
              <w:tc>
                <w:tcPr>
                  <w:tcW w:w="764" w:type="dxa"/>
                  <w:tcBorders>
                    <w:top w:val="nil"/>
                    <w:left w:val="nil"/>
                    <w:bottom w:val="single" w:sz="4" w:space="0" w:color="auto"/>
                    <w:right w:val="single" w:sz="4" w:space="0" w:color="auto"/>
                  </w:tcBorders>
                  <w:vAlign w:val="center"/>
                </w:tcPr>
                <w:p w14:paraId="76535E70" w14:textId="3E984FED" w:rsidR="0066001C" w:rsidRPr="0066001C" w:rsidRDefault="0066001C" w:rsidP="0066001C">
                  <w:pPr>
                    <w:spacing w:after="0" w:line="240" w:lineRule="auto"/>
                    <w:jc w:val="right"/>
                    <w:rPr>
                      <w:rFonts w:cs="Arial"/>
                      <w:sz w:val="16"/>
                      <w:szCs w:val="16"/>
                      <w:lang w:eastAsia="en-AU"/>
                    </w:rPr>
                  </w:pPr>
                  <w:r w:rsidRPr="0066001C">
                    <w:rPr>
                      <w:rFonts w:cs="Arial"/>
                      <w:sz w:val="16"/>
                      <w:szCs w:val="16"/>
                    </w:rPr>
                    <w:t>148K</w:t>
                  </w:r>
                </w:p>
              </w:tc>
              <w:tc>
                <w:tcPr>
                  <w:tcW w:w="764" w:type="dxa"/>
                  <w:tcBorders>
                    <w:top w:val="nil"/>
                    <w:left w:val="nil"/>
                    <w:bottom w:val="single" w:sz="4" w:space="0" w:color="auto"/>
                    <w:right w:val="single" w:sz="4" w:space="0" w:color="auto"/>
                  </w:tcBorders>
                  <w:vAlign w:val="center"/>
                </w:tcPr>
                <w:p w14:paraId="775AD5A3" w14:textId="743F13C8" w:rsidR="0066001C" w:rsidRPr="0066001C" w:rsidRDefault="0066001C" w:rsidP="0066001C">
                  <w:pPr>
                    <w:spacing w:after="0" w:line="240" w:lineRule="auto"/>
                    <w:jc w:val="right"/>
                    <w:rPr>
                      <w:rFonts w:cs="Arial"/>
                      <w:sz w:val="16"/>
                      <w:szCs w:val="16"/>
                      <w:lang w:eastAsia="en-AU"/>
                    </w:rPr>
                  </w:pPr>
                  <w:r w:rsidRPr="0066001C">
                    <w:rPr>
                      <w:rFonts w:cs="Arial"/>
                      <w:sz w:val="16"/>
                      <w:szCs w:val="16"/>
                    </w:rPr>
                    <w:t>96K</w:t>
                  </w:r>
                </w:p>
              </w:tc>
              <w:tc>
                <w:tcPr>
                  <w:tcW w:w="752" w:type="dxa"/>
                  <w:tcBorders>
                    <w:top w:val="nil"/>
                    <w:left w:val="nil"/>
                    <w:bottom w:val="single" w:sz="4" w:space="0" w:color="auto"/>
                    <w:right w:val="single" w:sz="4" w:space="0" w:color="auto"/>
                  </w:tcBorders>
                  <w:vAlign w:val="center"/>
                </w:tcPr>
                <w:p w14:paraId="72C2BE3B" w14:textId="32E6D3F2" w:rsidR="0066001C" w:rsidRPr="0066001C" w:rsidRDefault="0066001C" w:rsidP="0066001C">
                  <w:pPr>
                    <w:spacing w:after="0" w:line="240" w:lineRule="auto"/>
                    <w:jc w:val="right"/>
                    <w:rPr>
                      <w:rFonts w:cs="Arial"/>
                      <w:sz w:val="16"/>
                      <w:szCs w:val="16"/>
                      <w:lang w:eastAsia="en-AU"/>
                    </w:rPr>
                  </w:pPr>
                  <w:r w:rsidRPr="0066001C">
                    <w:rPr>
                      <w:rFonts w:cs="Arial"/>
                      <w:sz w:val="16"/>
                      <w:szCs w:val="16"/>
                    </w:rPr>
                    <w:t>122K</w:t>
                  </w:r>
                </w:p>
              </w:tc>
            </w:tr>
            <w:tr w:rsidR="0066001C" w:rsidRPr="00496ECA" w14:paraId="285F3CDB"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509C2572"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Hope Vale</w:t>
                  </w:r>
                </w:p>
              </w:tc>
              <w:tc>
                <w:tcPr>
                  <w:tcW w:w="786" w:type="dxa"/>
                  <w:tcBorders>
                    <w:top w:val="nil"/>
                    <w:left w:val="nil"/>
                    <w:bottom w:val="single" w:sz="4" w:space="0" w:color="auto"/>
                    <w:right w:val="single" w:sz="4" w:space="0" w:color="auto"/>
                  </w:tcBorders>
                  <w:vAlign w:val="center"/>
                </w:tcPr>
                <w:p w14:paraId="115579A8" w14:textId="5C5DC128" w:rsidR="0066001C" w:rsidRPr="0066001C" w:rsidRDefault="0066001C" w:rsidP="0066001C">
                  <w:pPr>
                    <w:spacing w:after="0" w:line="240" w:lineRule="auto"/>
                    <w:jc w:val="right"/>
                    <w:rPr>
                      <w:rFonts w:cs="Arial"/>
                      <w:sz w:val="16"/>
                      <w:szCs w:val="16"/>
                      <w:lang w:eastAsia="en-AU"/>
                    </w:rPr>
                  </w:pPr>
                  <w:r w:rsidRPr="0066001C">
                    <w:rPr>
                      <w:rFonts w:cs="Arial"/>
                      <w:sz w:val="16"/>
                      <w:szCs w:val="16"/>
                    </w:rPr>
                    <w:t>60K</w:t>
                  </w:r>
                </w:p>
              </w:tc>
              <w:tc>
                <w:tcPr>
                  <w:tcW w:w="764" w:type="dxa"/>
                  <w:tcBorders>
                    <w:top w:val="nil"/>
                    <w:left w:val="nil"/>
                    <w:bottom w:val="single" w:sz="4" w:space="0" w:color="auto"/>
                    <w:right w:val="single" w:sz="4" w:space="0" w:color="auto"/>
                  </w:tcBorders>
                  <w:vAlign w:val="center"/>
                </w:tcPr>
                <w:p w14:paraId="1728E372" w14:textId="13C7F7FF" w:rsidR="0066001C" w:rsidRPr="0066001C" w:rsidRDefault="0066001C" w:rsidP="0066001C">
                  <w:pPr>
                    <w:spacing w:after="0" w:line="240" w:lineRule="auto"/>
                    <w:jc w:val="right"/>
                    <w:rPr>
                      <w:rFonts w:cs="Arial"/>
                      <w:sz w:val="16"/>
                      <w:szCs w:val="16"/>
                      <w:lang w:eastAsia="en-AU"/>
                    </w:rPr>
                  </w:pPr>
                  <w:r w:rsidRPr="0066001C">
                    <w:rPr>
                      <w:rFonts w:cs="Arial"/>
                      <w:sz w:val="16"/>
                      <w:szCs w:val="16"/>
                    </w:rPr>
                    <w:t>71K</w:t>
                  </w:r>
                </w:p>
              </w:tc>
              <w:tc>
                <w:tcPr>
                  <w:tcW w:w="764" w:type="dxa"/>
                  <w:tcBorders>
                    <w:top w:val="nil"/>
                    <w:left w:val="nil"/>
                    <w:bottom w:val="single" w:sz="4" w:space="0" w:color="auto"/>
                    <w:right w:val="single" w:sz="4" w:space="0" w:color="auto"/>
                  </w:tcBorders>
                  <w:vAlign w:val="center"/>
                </w:tcPr>
                <w:p w14:paraId="16AA55D9" w14:textId="7981AAA7" w:rsidR="0066001C" w:rsidRPr="0066001C" w:rsidRDefault="0066001C" w:rsidP="0066001C">
                  <w:pPr>
                    <w:spacing w:after="0" w:line="240" w:lineRule="auto"/>
                    <w:jc w:val="right"/>
                    <w:rPr>
                      <w:rFonts w:cs="Arial"/>
                      <w:sz w:val="16"/>
                      <w:szCs w:val="16"/>
                      <w:lang w:eastAsia="en-AU"/>
                    </w:rPr>
                  </w:pPr>
                  <w:r w:rsidRPr="0066001C">
                    <w:rPr>
                      <w:rFonts w:cs="Arial"/>
                      <w:sz w:val="16"/>
                      <w:szCs w:val="16"/>
                    </w:rPr>
                    <w:t>41K</w:t>
                  </w:r>
                </w:p>
              </w:tc>
              <w:tc>
                <w:tcPr>
                  <w:tcW w:w="752" w:type="dxa"/>
                  <w:tcBorders>
                    <w:top w:val="nil"/>
                    <w:left w:val="nil"/>
                    <w:bottom w:val="single" w:sz="4" w:space="0" w:color="auto"/>
                    <w:right w:val="single" w:sz="4" w:space="0" w:color="auto"/>
                  </w:tcBorders>
                  <w:vAlign w:val="center"/>
                </w:tcPr>
                <w:p w14:paraId="1FAC199C" w14:textId="7E7CD1A2" w:rsidR="0066001C" w:rsidRPr="0066001C" w:rsidRDefault="0066001C" w:rsidP="0066001C">
                  <w:pPr>
                    <w:spacing w:after="0" w:line="240" w:lineRule="auto"/>
                    <w:jc w:val="right"/>
                    <w:rPr>
                      <w:rFonts w:cs="Arial"/>
                      <w:sz w:val="16"/>
                      <w:szCs w:val="16"/>
                      <w:lang w:eastAsia="en-AU"/>
                    </w:rPr>
                  </w:pPr>
                  <w:r w:rsidRPr="0066001C">
                    <w:rPr>
                      <w:rFonts w:cs="Arial"/>
                      <w:sz w:val="16"/>
                      <w:szCs w:val="16"/>
                    </w:rPr>
                    <w:t>68K</w:t>
                  </w:r>
                </w:p>
              </w:tc>
            </w:tr>
            <w:tr w:rsidR="0066001C" w:rsidRPr="00496ECA" w14:paraId="099C55A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68AE6676" w14:textId="77777777" w:rsidR="0066001C" w:rsidRPr="00496ECA" w:rsidRDefault="0066001C" w:rsidP="0066001C">
                  <w:pPr>
                    <w:spacing w:after="0" w:line="240" w:lineRule="auto"/>
                    <w:rPr>
                      <w:rFonts w:cs="Arial"/>
                      <w:sz w:val="16"/>
                      <w:szCs w:val="16"/>
                      <w:lang w:eastAsia="en-AU"/>
                    </w:rPr>
                  </w:pPr>
                  <w:r w:rsidRPr="00496ECA">
                    <w:rPr>
                      <w:rFonts w:cs="Arial"/>
                      <w:sz w:val="16"/>
                      <w:szCs w:val="16"/>
                      <w:lang w:eastAsia="en-AU"/>
                    </w:rPr>
                    <w:t>Mossman Gorge</w:t>
                  </w:r>
                </w:p>
              </w:tc>
              <w:tc>
                <w:tcPr>
                  <w:tcW w:w="786" w:type="dxa"/>
                  <w:tcBorders>
                    <w:top w:val="nil"/>
                    <w:left w:val="nil"/>
                    <w:bottom w:val="single" w:sz="4" w:space="0" w:color="auto"/>
                    <w:right w:val="single" w:sz="4" w:space="0" w:color="auto"/>
                  </w:tcBorders>
                  <w:vAlign w:val="center"/>
                </w:tcPr>
                <w:p w14:paraId="059DB2F5" w14:textId="1583358E" w:rsidR="0066001C" w:rsidRPr="0066001C" w:rsidRDefault="0066001C" w:rsidP="0066001C">
                  <w:pPr>
                    <w:spacing w:after="0" w:line="240" w:lineRule="auto"/>
                    <w:jc w:val="right"/>
                    <w:rPr>
                      <w:rFonts w:cs="Arial"/>
                      <w:sz w:val="16"/>
                      <w:szCs w:val="16"/>
                      <w:lang w:eastAsia="en-AU"/>
                    </w:rPr>
                  </w:pPr>
                  <w:r w:rsidRPr="0066001C">
                    <w:rPr>
                      <w:rFonts w:cs="Arial"/>
                      <w:sz w:val="16"/>
                      <w:szCs w:val="16"/>
                    </w:rPr>
                    <w:t>28K</w:t>
                  </w:r>
                </w:p>
              </w:tc>
              <w:tc>
                <w:tcPr>
                  <w:tcW w:w="764" w:type="dxa"/>
                  <w:tcBorders>
                    <w:top w:val="nil"/>
                    <w:left w:val="nil"/>
                    <w:bottom w:val="single" w:sz="4" w:space="0" w:color="auto"/>
                    <w:right w:val="single" w:sz="4" w:space="0" w:color="auto"/>
                  </w:tcBorders>
                  <w:vAlign w:val="center"/>
                </w:tcPr>
                <w:p w14:paraId="0DE71EAC" w14:textId="65AA4C3F" w:rsidR="0066001C" w:rsidRPr="0066001C" w:rsidRDefault="0066001C" w:rsidP="0066001C">
                  <w:pPr>
                    <w:spacing w:after="0" w:line="240" w:lineRule="auto"/>
                    <w:jc w:val="right"/>
                    <w:rPr>
                      <w:rFonts w:cs="Arial"/>
                      <w:sz w:val="16"/>
                      <w:szCs w:val="16"/>
                      <w:lang w:eastAsia="en-AU"/>
                    </w:rPr>
                  </w:pPr>
                  <w:r w:rsidRPr="0066001C">
                    <w:rPr>
                      <w:rFonts w:cs="Arial"/>
                      <w:sz w:val="16"/>
                      <w:szCs w:val="16"/>
                    </w:rPr>
                    <w:t>29K</w:t>
                  </w:r>
                </w:p>
              </w:tc>
              <w:tc>
                <w:tcPr>
                  <w:tcW w:w="764" w:type="dxa"/>
                  <w:tcBorders>
                    <w:top w:val="nil"/>
                    <w:left w:val="nil"/>
                    <w:bottom w:val="single" w:sz="4" w:space="0" w:color="auto"/>
                    <w:right w:val="single" w:sz="4" w:space="0" w:color="auto"/>
                  </w:tcBorders>
                  <w:vAlign w:val="center"/>
                </w:tcPr>
                <w:p w14:paraId="769072C4" w14:textId="513BE78D" w:rsidR="0066001C" w:rsidRPr="0066001C" w:rsidRDefault="0066001C" w:rsidP="0066001C">
                  <w:pPr>
                    <w:spacing w:after="0" w:line="240" w:lineRule="auto"/>
                    <w:jc w:val="right"/>
                    <w:rPr>
                      <w:rFonts w:cs="Arial"/>
                      <w:sz w:val="16"/>
                      <w:szCs w:val="16"/>
                      <w:lang w:eastAsia="en-AU"/>
                    </w:rPr>
                  </w:pPr>
                  <w:r w:rsidRPr="0066001C">
                    <w:rPr>
                      <w:rFonts w:cs="Arial"/>
                      <w:sz w:val="16"/>
                      <w:szCs w:val="16"/>
                    </w:rPr>
                    <w:t>32K</w:t>
                  </w:r>
                </w:p>
              </w:tc>
              <w:tc>
                <w:tcPr>
                  <w:tcW w:w="752" w:type="dxa"/>
                  <w:tcBorders>
                    <w:top w:val="nil"/>
                    <w:left w:val="nil"/>
                    <w:bottom w:val="single" w:sz="4" w:space="0" w:color="auto"/>
                    <w:right w:val="single" w:sz="4" w:space="0" w:color="auto"/>
                  </w:tcBorders>
                  <w:vAlign w:val="center"/>
                </w:tcPr>
                <w:p w14:paraId="1E8FB195" w14:textId="022EDDD3" w:rsidR="0066001C" w:rsidRPr="0066001C" w:rsidRDefault="0066001C" w:rsidP="0066001C">
                  <w:pPr>
                    <w:spacing w:after="0" w:line="240" w:lineRule="auto"/>
                    <w:jc w:val="right"/>
                    <w:rPr>
                      <w:rFonts w:cs="Arial"/>
                      <w:sz w:val="16"/>
                      <w:szCs w:val="16"/>
                      <w:lang w:eastAsia="en-AU"/>
                    </w:rPr>
                  </w:pPr>
                  <w:r w:rsidRPr="0066001C">
                    <w:rPr>
                      <w:rFonts w:cs="Arial"/>
                      <w:sz w:val="16"/>
                      <w:szCs w:val="16"/>
                    </w:rPr>
                    <w:t>47K</w:t>
                  </w:r>
                </w:p>
              </w:tc>
            </w:tr>
            <w:tr w:rsidR="0066001C" w:rsidRPr="00496ECA" w14:paraId="310B9154"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4D8ECE2B" w14:textId="77777777" w:rsidR="0066001C" w:rsidRPr="00496ECA" w:rsidRDefault="0066001C" w:rsidP="0066001C">
                  <w:pPr>
                    <w:spacing w:after="0" w:line="240" w:lineRule="auto"/>
                    <w:rPr>
                      <w:rFonts w:cs="Arial"/>
                      <w:b/>
                      <w:bCs/>
                      <w:sz w:val="16"/>
                      <w:szCs w:val="16"/>
                      <w:lang w:eastAsia="en-AU"/>
                    </w:rPr>
                  </w:pPr>
                  <w:r w:rsidRPr="00496ECA">
                    <w:rPr>
                      <w:rFonts w:cs="Arial"/>
                      <w:b/>
                      <w:bCs/>
                      <w:sz w:val="16"/>
                      <w:szCs w:val="16"/>
                      <w:lang w:eastAsia="en-AU"/>
                    </w:rPr>
                    <w:t>TOTAL</w:t>
                  </w:r>
                </w:p>
              </w:tc>
              <w:tc>
                <w:tcPr>
                  <w:tcW w:w="786" w:type="dxa"/>
                  <w:tcBorders>
                    <w:top w:val="nil"/>
                    <w:left w:val="nil"/>
                    <w:bottom w:val="single" w:sz="4" w:space="0" w:color="auto"/>
                    <w:right w:val="single" w:sz="4" w:space="0" w:color="auto"/>
                  </w:tcBorders>
                  <w:noWrap/>
                  <w:vAlign w:val="center"/>
                </w:tcPr>
                <w:p w14:paraId="7A88340A" w14:textId="5B0093B5"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359K</w:t>
                  </w:r>
                </w:p>
              </w:tc>
              <w:tc>
                <w:tcPr>
                  <w:tcW w:w="764" w:type="dxa"/>
                  <w:tcBorders>
                    <w:top w:val="nil"/>
                    <w:left w:val="nil"/>
                    <w:bottom w:val="single" w:sz="4" w:space="0" w:color="auto"/>
                    <w:right w:val="single" w:sz="4" w:space="0" w:color="auto"/>
                  </w:tcBorders>
                  <w:noWrap/>
                  <w:vAlign w:val="center"/>
                </w:tcPr>
                <w:p w14:paraId="56415D77" w14:textId="402F7F77"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392K</w:t>
                  </w:r>
                </w:p>
              </w:tc>
              <w:tc>
                <w:tcPr>
                  <w:tcW w:w="764" w:type="dxa"/>
                  <w:tcBorders>
                    <w:top w:val="nil"/>
                    <w:left w:val="nil"/>
                    <w:bottom w:val="single" w:sz="4" w:space="0" w:color="auto"/>
                    <w:right w:val="single" w:sz="4" w:space="0" w:color="auto"/>
                  </w:tcBorders>
                  <w:noWrap/>
                  <w:vAlign w:val="center"/>
                </w:tcPr>
                <w:p w14:paraId="24AB858F" w14:textId="7939DA9C"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297K</w:t>
                  </w:r>
                </w:p>
              </w:tc>
              <w:tc>
                <w:tcPr>
                  <w:tcW w:w="752" w:type="dxa"/>
                  <w:tcBorders>
                    <w:top w:val="nil"/>
                    <w:left w:val="nil"/>
                    <w:bottom w:val="single" w:sz="4" w:space="0" w:color="auto"/>
                    <w:right w:val="single" w:sz="4" w:space="0" w:color="auto"/>
                  </w:tcBorders>
                  <w:noWrap/>
                  <w:vAlign w:val="center"/>
                </w:tcPr>
                <w:p w14:paraId="632F84EE" w14:textId="3B847F78" w:rsidR="0066001C" w:rsidRPr="0066001C" w:rsidRDefault="0066001C" w:rsidP="0066001C">
                  <w:pPr>
                    <w:spacing w:after="0" w:line="240" w:lineRule="auto"/>
                    <w:jc w:val="right"/>
                    <w:rPr>
                      <w:rFonts w:cs="Arial"/>
                      <w:b/>
                      <w:bCs/>
                      <w:sz w:val="16"/>
                      <w:szCs w:val="16"/>
                      <w:lang w:eastAsia="en-AU"/>
                    </w:rPr>
                  </w:pPr>
                  <w:r w:rsidRPr="0066001C">
                    <w:rPr>
                      <w:rFonts w:cs="Arial"/>
                      <w:b/>
                      <w:bCs/>
                      <w:sz w:val="16"/>
                      <w:szCs w:val="16"/>
                    </w:rPr>
                    <w:t>416K</w:t>
                  </w:r>
                </w:p>
              </w:tc>
            </w:tr>
          </w:tbl>
          <w:p w14:paraId="23D30874" w14:textId="77777777" w:rsidR="007A241F" w:rsidRDefault="007A241F" w:rsidP="007A241F">
            <w:pPr>
              <w:rPr>
                <w:rFonts w:ascii="Helvetica" w:hAnsi="Helvetica" w:cs="Helvetica"/>
                <w:b/>
                <w:bCs/>
                <w:sz w:val="17"/>
                <w:szCs w:val="17"/>
                <w:lang w:val="en-US"/>
              </w:rPr>
            </w:pPr>
          </w:p>
          <w:p w14:paraId="71F801CF" w14:textId="0E7D82AF" w:rsidR="007A241F" w:rsidRPr="00DB7B7B" w:rsidRDefault="007A241F" w:rsidP="007A241F">
            <w:pPr>
              <w:widowControl w:val="0"/>
              <w:autoSpaceDE w:val="0"/>
              <w:autoSpaceDN w:val="0"/>
              <w:adjustRightInd w:val="0"/>
              <w:spacing w:before="60" w:line="240" w:lineRule="auto"/>
              <w:ind w:left="851" w:hanging="851"/>
              <w:rPr>
                <w:rFonts w:ascii="Helvetica" w:hAnsi="Helvetica" w:cs="Helvetica"/>
                <w:b/>
                <w:bCs/>
                <w:sz w:val="17"/>
                <w:szCs w:val="17"/>
                <w:lang w:val="en-US"/>
              </w:rPr>
            </w:pPr>
            <w:r>
              <w:rPr>
                <w:rFonts w:ascii="Helvetica" w:hAnsi="Helvetica" w:cs="Helvetica"/>
                <w:b/>
                <w:bCs/>
                <w:sz w:val="17"/>
                <w:szCs w:val="17"/>
                <w:lang w:val="en-US"/>
              </w:rPr>
              <w:t>Table 2</w:t>
            </w:r>
            <w:r w:rsidR="00026F4C">
              <w:rPr>
                <w:rFonts w:ascii="Helvetica" w:hAnsi="Helvetica" w:cs="Helvetica"/>
                <w:b/>
                <w:bCs/>
                <w:sz w:val="17"/>
                <w:szCs w:val="17"/>
                <w:lang w:val="en-US"/>
              </w:rPr>
              <w:t>2</w:t>
            </w:r>
            <w:r w:rsidRPr="00447E70">
              <w:rPr>
                <w:rFonts w:ascii="Helvetica" w:hAnsi="Helvetica" w:cs="Helvetica"/>
                <w:b/>
                <w:bCs/>
                <w:sz w:val="17"/>
                <w:szCs w:val="17"/>
                <w:lang w:val="en-US"/>
              </w:rPr>
              <w:t xml:space="preserve">: </w:t>
            </w:r>
            <w:r w:rsidRPr="002E1F47">
              <w:rPr>
                <w:rFonts w:ascii="Helvetica" w:hAnsi="Helvetica" w:cs="Helvetica"/>
                <w:b/>
                <w:bCs/>
                <w:sz w:val="17"/>
                <w:szCs w:val="17"/>
                <w:lang w:val="en-US"/>
              </w:rPr>
              <w:t>Qua</w:t>
            </w:r>
            <w:r>
              <w:rPr>
                <w:rFonts w:ascii="Helvetica" w:hAnsi="Helvetica" w:cs="Helvetica"/>
                <w:b/>
                <w:bCs/>
                <w:sz w:val="17"/>
                <w:szCs w:val="17"/>
                <w:lang w:val="en-US"/>
              </w:rPr>
              <w:t>rterly operating costs, Cairns r</w:t>
            </w:r>
            <w:r w:rsidRPr="002E1F47">
              <w:rPr>
                <w:rFonts w:ascii="Helvetica" w:hAnsi="Helvetica" w:cs="Helvetica"/>
                <w:b/>
                <w:bCs/>
                <w:sz w:val="17"/>
                <w:szCs w:val="17"/>
                <w:lang w:val="en-US"/>
              </w:rPr>
              <w:t>egistry</w:t>
            </w:r>
            <w:r w:rsidRPr="002E1F47">
              <w:rPr>
                <w:rFonts w:ascii="Helvetica" w:hAnsi="Helvetica" w:cs="Helvetica"/>
                <w:b/>
                <w:bCs/>
                <w:sz w:val="17"/>
                <w:szCs w:val="17"/>
                <w:lang w:val="en-US"/>
              </w:rPr>
              <w:br/>
              <w:t xml:space="preserve">1 July </w:t>
            </w:r>
            <w:r>
              <w:rPr>
                <w:rFonts w:ascii="Helvetica" w:hAnsi="Helvetica" w:cs="Helvetica"/>
                <w:b/>
                <w:bCs/>
                <w:sz w:val="17"/>
                <w:szCs w:val="17"/>
                <w:lang w:val="en-US"/>
              </w:rPr>
              <w:t>2018 to 30 June 2019.</w:t>
            </w:r>
          </w:p>
          <w:tbl>
            <w:tblPr>
              <w:tblW w:w="5098" w:type="dxa"/>
              <w:tblLayout w:type="fixed"/>
              <w:tblLook w:val="04A0" w:firstRow="1" w:lastRow="0" w:firstColumn="1" w:lastColumn="0" w:noHBand="0" w:noVBand="1"/>
            </w:tblPr>
            <w:tblGrid>
              <w:gridCol w:w="2032"/>
              <w:gridCol w:w="786"/>
              <w:gridCol w:w="764"/>
              <w:gridCol w:w="764"/>
              <w:gridCol w:w="752"/>
            </w:tblGrid>
            <w:tr w:rsidR="007A241F" w:rsidRPr="00496ECA" w14:paraId="6FFFC3EE" w14:textId="77777777" w:rsidTr="00B25249">
              <w:trPr>
                <w:trHeight w:val="253"/>
              </w:trPr>
              <w:tc>
                <w:tcPr>
                  <w:tcW w:w="2032" w:type="dxa"/>
                  <w:tcBorders>
                    <w:top w:val="single" w:sz="4" w:space="0" w:color="auto"/>
                    <w:left w:val="single" w:sz="4" w:space="0" w:color="auto"/>
                    <w:bottom w:val="single" w:sz="4" w:space="0" w:color="auto"/>
                    <w:right w:val="single" w:sz="4" w:space="0" w:color="auto"/>
                  </w:tcBorders>
                  <w:noWrap/>
                  <w:vAlign w:val="center"/>
                  <w:hideMark/>
                </w:tcPr>
                <w:p w14:paraId="526A60D4" w14:textId="77777777" w:rsidR="007A241F" w:rsidRPr="00496ECA" w:rsidRDefault="007A241F" w:rsidP="007A241F">
                  <w:pPr>
                    <w:spacing w:after="0" w:line="240" w:lineRule="auto"/>
                    <w:rPr>
                      <w:rFonts w:cs="Arial"/>
                      <w:b/>
                      <w:bCs/>
                      <w:sz w:val="16"/>
                      <w:szCs w:val="16"/>
                      <w:lang w:eastAsia="en-AU"/>
                    </w:rPr>
                  </w:pPr>
                  <w:r w:rsidRPr="00496ECA">
                    <w:rPr>
                      <w:rFonts w:cs="Arial"/>
                      <w:b/>
                      <w:bCs/>
                      <w:sz w:val="16"/>
                      <w:szCs w:val="16"/>
                      <w:lang w:eastAsia="en-AU"/>
                    </w:rPr>
                    <w:t>Community</w:t>
                  </w:r>
                </w:p>
              </w:tc>
              <w:tc>
                <w:tcPr>
                  <w:tcW w:w="786" w:type="dxa"/>
                  <w:tcBorders>
                    <w:top w:val="single" w:sz="4" w:space="0" w:color="auto"/>
                    <w:left w:val="nil"/>
                    <w:bottom w:val="single" w:sz="4" w:space="0" w:color="auto"/>
                    <w:right w:val="single" w:sz="4" w:space="0" w:color="auto"/>
                  </w:tcBorders>
                  <w:vAlign w:val="center"/>
                  <w:hideMark/>
                </w:tcPr>
                <w:p w14:paraId="56117DF4"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1</w:t>
                  </w:r>
                </w:p>
              </w:tc>
              <w:tc>
                <w:tcPr>
                  <w:tcW w:w="764" w:type="dxa"/>
                  <w:tcBorders>
                    <w:top w:val="single" w:sz="4" w:space="0" w:color="auto"/>
                    <w:left w:val="nil"/>
                    <w:bottom w:val="single" w:sz="4" w:space="0" w:color="auto"/>
                    <w:right w:val="single" w:sz="4" w:space="0" w:color="auto"/>
                  </w:tcBorders>
                  <w:vAlign w:val="center"/>
                  <w:hideMark/>
                </w:tcPr>
                <w:p w14:paraId="7819EAC7"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2</w:t>
                  </w:r>
                </w:p>
              </w:tc>
              <w:tc>
                <w:tcPr>
                  <w:tcW w:w="764" w:type="dxa"/>
                  <w:tcBorders>
                    <w:top w:val="single" w:sz="4" w:space="0" w:color="auto"/>
                    <w:left w:val="nil"/>
                    <w:bottom w:val="single" w:sz="4" w:space="0" w:color="auto"/>
                    <w:right w:val="single" w:sz="4" w:space="0" w:color="auto"/>
                  </w:tcBorders>
                  <w:vAlign w:val="center"/>
                  <w:hideMark/>
                </w:tcPr>
                <w:p w14:paraId="1550DF23"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3</w:t>
                  </w:r>
                </w:p>
              </w:tc>
              <w:tc>
                <w:tcPr>
                  <w:tcW w:w="752" w:type="dxa"/>
                  <w:tcBorders>
                    <w:top w:val="single" w:sz="4" w:space="0" w:color="auto"/>
                    <w:left w:val="nil"/>
                    <w:bottom w:val="single" w:sz="4" w:space="0" w:color="auto"/>
                    <w:right w:val="single" w:sz="4" w:space="0" w:color="auto"/>
                  </w:tcBorders>
                  <w:vAlign w:val="center"/>
                  <w:hideMark/>
                </w:tcPr>
                <w:p w14:paraId="5A8D0B85" w14:textId="77777777" w:rsidR="007A241F" w:rsidRPr="00496ECA" w:rsidRDefault="007A241F" w:rsidP="007A241F">
                  <w:pPr>
                    <w:spacing w:after="0" w:line="240" w:lineRule="auto"/>
                    <w:jc w:val="right"/>
                    <w:rPr>
                      <w:rFonts w:cs="Arial"/>
                      <w:b/>
                      <w:bCs/>
                      <w:sz w:val="16"/>
                      <w:szCs w:val="16"/>
                      <w:lang w:eastAsia="en-AU"/>
                    </w:rPr>
                  </w:pPr>
                  <w:proofErr w:type="spellStart"/>
                  <w:r w:rsidRPr="00496ECA">
                    <w:rPr>
                      <w:rFonts w:cs="Arial"/>
                      <w:b/>
                      <w:bCs/>
                      <w:sz w:val="16"/>
                      <w:szCs w:val="16"/>
                      <w:lang w:eastAsia="en-AU"/>
                    </w:rPr>
                    <w:t>Qtr</w:t>
                  </w:r>
                  <w:proofErr w:type="spellEnd"/>
                  <w:r w:rsidRPr="00496ECA">
                    <w:rPr>
                      <w:rFonts w:cs="Arial"/>
                      <w:b/>
                      <w:bCs/>
                      <w:sz w:val="16"/>
                      <w:szCs w:val="16"/>
                      <w:lang w:eastAsia="en-AU"/>
                    </w:rPr>
                    <w:t xml:space="preserve"> 4</w:t>
                  </w:r>
                </w:p>
              </w:tc>
            </w:tr>
            <w:tr w:rsidR="009372C9" w:rsidRPr="00496ECA" w14:paraId="7C175FA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420C80C4"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Corporate Services</w:t>
                  </w:r>
                </w:p>
              </w:tc>
              <w:tc>
                <w:tcPr>
                  <w:tcW w:w="786" w:type="dxa"/>
                  <w:tcBorders>
                    <w:top w:val="nil"/>
                    <w:left w:val="nil"/>
                    <w:bottom w:val="single" w:sz="4" w:space="0" w:color="auto"/>
                    <w:right w:val="single" w:sz="4" w:space="0" w:color="auto"/>
                  </w:tcBorders>
                  <w:vAlign w:val="center"/>
                </w:tcPr>
                <w:p w14:paraId="74B4AA0E" w14:textId="0674DB41"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236K</w:t>
                  </w:r>
                </w:p>
              </w:tc>
              <w:tc>
                <w:tcPr>
                  <w:tcW w:w="764" w:type="dxa"/>
                  <w:tcBorders>
                    <w:top w:val="nil"/>
                    <w:left w:val="nil"/>
                    <w:bottom w:val="single" w:sz="4" w:space="0" w:color="auto"/>
                    <w:right w:val="single" w:sz="4" w:space="0" w:color="auto"/>
                  </w:tcBorders>
                  <w:vAlign w:val="center"/>
                </w:tcPr>
                <w:p w14:paraId="51ECC688" w14:textId="4C0BF66C"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232K</w:t>
                  </w:r>
                </w:p>
              </w:tc>
              <w:tc>
                <w:tcPr>
                  <w:tcW w:w="764" w:type="dxa"/>
                  <w:tcBorders>
                    <w:top w:val="nil"/>
                    <w:left w:val="nil"/>
                    <w:bottom w:val="single" w:sz="4" w:space="0" w:color="auto"/>
                    <w:right w:val="single" w:sz="4" w:space="0" w:color="auto"/>
                  </w:tcBorders>
                  <w:vAlign w:val="center"/>
                </w:tcPr>
                <w:p w14:paraId="03893B88" w14:textId="01F974B7" w:rsidR="009372C9" w:rsidRPr="009372C9" w:rsidRDefault="009372C9" w:rsidP="009372C9">
                  <w:pPr>
                    <w:spacing w:after="0" w:line="240" w:lineRule="auto"/>
                    <w:jc w:val="right"/>
                    <w:rPr>
                      <w:rFonts w:cs="Arial"/>
                      <w:sz w:val="16"/>
                      <w:szCs w:val="16"/>
                      <w:lang w:eastAsia="en-AU"/>
                    </w:rPr>
                  </w:pPr>
                  <w:r w:rsidRPr="009372C9">
                    <w:rPr>
                      <w:rFonts w:cs="Arial"/>
                      <w:sz w:val="16"/>
                      <w:szCs w:val="16"/>
                    </w:rPr>
                    <w:t>221K</w:t>
                  </w:r>
                </w:p>
              </w:tc>
              <w:tc>
                <w:tcPr>
                  <w:tcW w:w="752" w:type="dxa"/>
                  <w:tcBorders>
                    <w:top w:val="nil"/>
                    <w:left w:val="nil"/>
                    <w:bottom w:val="single" w:sz="4" w:space="0" w:color="auto"/>
                    <w:right w:val="single" w:sz="4" w:space="0" w:color="auto"/>
                  </w:tcBorders>
                  <w:vAlign w:val="center"/>
                </w:tcPr>
                <w:p w14:paraId="42BD8801" w14:textId="59FF3E09" w:rsidR="009372C9" w:rsidRPr="009372C9" w:rsidRDefault="009372C9" w:rsidP="009372C9">
                  <w:pPr>
                    <w:spacing w:after="0" w:line="240" w:lineRule="auto"/>
                    <w:jc w:val="right"/>
                    <w:rPr>
                      <w:rFonts w:cs="Arial"/>
                      <w:sz w:val="16"/>
                      <w:szCs w:val="16"/>
                      <w:lang w:eastAsia="en-AU"/>
                    </w:rPr>
                  </w:pPr>
                  <w:r w:rsidRPr="009372C9">
                    <w:rPr>
                      <w:rFonts w:cs="Arial"/>
                      <w:sz w:val="16"/>
                      <w:szCs w:val="16"/>
                    </w:rPr>
                    <w:t>206K</w:t>
                  </w:r>
                </w:p>
              </w:tc>
            </w:tr>
            <w:tr w:rsidR="009372C9" w:rsidRPr="00496ECA" w14:paraId="128CE3B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27BDB34F"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Operations</w:t>
                  </w:r>
                </w:p>
              </w:tc>
              <w:tc>
                <w:tcPr>
                  <w:tcW w:w="786" w:type="dxa"/>
                  <w:tcBorders>
                    <w:top w:val="nil"/>
                    <w:left w:val="nil"/>
                    <w:bottom w:val="single" w:sz="4" w:space="0" w:color="auto"/>
                    <w:right w:val="single" w:sz="4" w:space="0" w:color="auto"/>
                  </w:tcBorders>
                  <w:vAlign w:val="center"/>
                </w:tcPr>
                <w:p w14:paraId="33949A2B" w14:textId="2FFBC9E5" w:rsidR="009372C9" w:rsidRPr="009372C9" w:rsidRDefault="009372C9" w:rsidP="009372C9">
                  <w:pPr>
                    <w:spacing w:after="0" w:line="240" w:lineRule="auto"/>
                    <w:jc w:val="right"/>
                    <w:rPr>
                      <w:rFonts w:cs="Arial"/>
                      <w:sz w:val="16"/>
                      <w:szCs w:val="16"/>
                      <w:lang w:eastAsia="en-AU"/>
                    </w:rPr>
                  </w:pPr>
                  <w:r w:rsidRPr="009372C9">
                    <w:rPr>
                      <w:rFonts w:cs="Arial"/>
                      <w:sz w:val="16"/>
                      <w:szCs w:val="16"/>
                    </w:rPr>
                    <w:t>289K</w:t>
                  </w:r>
                </w:p>
              </w:tc>
              <w:tc>
                <w:tcPr>
                  <w:tcW w:w="764" w:type="dxa"/>
                  <w:tcBorders>
                    <w:top w:val="nil"/>
                    <w:left w:val="nil"/>
                    <w:bottom w:val="single" w:sz="4" w:space="0" w:color="auto"/>
                    <w:right w:val="single" w:sz="4" w:space="0" w:color="auto"/>
                  </w:tcBorders>
                  <w:vAlign w:val="center"/>
                </w:tcPr>
                <w:p w14:paraId="66EB2D80" w14:textId="697D32E0" w:rsidR="009372C9" w:rsidRPr="009372C9" w:rsidRDefault="009372C9" w:rsidP="009372C9">
                  <w:pPr>
                    <w:spacing w:after="0" w:line="240" w:lineRule="auto"/>
                    <w:jc w:val="right"/>
                    <w:rPr>
                      <w:rFonts w:cs="Arial"/>
                      <w:sz w:val="16"/>
                      <w:szCs w:val="16"/>
                      <w:lang w:eastAsia="en-AU"/>
                    </w:rPr>
                  </w:pPr>
                  <w:r w:rsidRPr="009372C9">
                    <w:rPr>
                      <w:rFonts w:cs="Arial"/>
                      <w:sz w:val="16"/>
                      <w:szCs w:val="16"/>
                    </w:rPr>
                    <w:t>252K</w:t>
                  </w:r>
                </w:p>
              </w:tc>
              <w:tc>
                <w:tcPr>
                  <w:tcW w:w="764" w:type="dxa"/>
                  <w:tcBorders>
                    <w:top w:val="nil"/>
                    <w:left w:val="nil"/>
                    <w:bottom w:val="single" w:sz="4" w:space="0" w:color="auto"/>
                    <w:right w:val="single" w:sz="4" w:space="0" w:color="auto"/>
                  </w:tcBorders>
                  <w:vAlign w:val="center"/>
                </w:tcPr>
                <w:p w14:paraId="673D6515" w14:textId="0315AFAB" w:rsidR="009372C9" w:rsidRPr="009372C9" w:rsidRDefault="009372C9" w:rsidP="009372C9">
                  <w:pPr>
                    <w:spacing w:after="0" w:line="240" w:lineRule="auto"/>
                    <w:jc w:val="right"/>
                    <w:rPr>
                      <w:rFonts w:cs="Arial"/>
                      <w:sz w:val="16"/>
                      <w:szCs w:val="16"/>
                      <w:lang w:eastAsia="en-AU"/>
                    </w:rPr>
                  </w:pPr>
                  <w:r w:rsidRPr="009372C9">
                    <w:rPr>
                      <w:rFonts w:cs="Arial"/>
                      <w:sz w:val="16"/>
                      <w:szCs w:val="16"/>
                    </w:rPr>
                    <w:t>227K</w:t>
                  </w:r>
                </w:p>
              </w:tc>
              <w:tc>
                <w:tcPr>
                  <w:tcW w:w="752" w:type="dxa"/>
                  <w:tcBorders>
                    <w:top w:val="nil"/>
                    <w:left w:val="nil"/>
                    <w:bottom w:val="single" w:sz="4" w:space="0" w:color="auto"/>
                    <w:right w:val="single" w:sz="4" w:space="0" w:color="auto"/>
                  </w:tcBorders>
                  <w:vAlign w:val="center"/>
                </w:tcPr>
                <w:p w14:paraId="395BD1D0" w14:textId="7200E2FF" w:rsidR="009372C9" w:rsidRPr="009372C9" w:rsidRDefault="009372C9" w:rsidP="009372C9">
                  <w:pPr>
                    <w:spacing w:after="0" w:line="240" w:lineRule="auto"/>
                    <w:jc w:val="right"/>
                    <w:rPr>
                      <w:rFonts w:cs="Arial"/>
                      <w:sz w:val="16"/>
                      <w:szCs w:val="16"/>
                      <w:lang w:eastAsia="en-AU"/>
                    </w:rPr>
                  </w:pPr>
                  <w:r w:rsidRPr="009372C9">
                    <w:rPr>
                      <w:rFonts w:cs="Arial"/>
                      <w:sz w:val="16"/>
                      <w:szCs w:val="16"/>
                    </w:rPr>
                    <w:t>236K</w:t>
                  </w:r>
                </w:p>
              </w:tc>
            </w:tr>
            <w:tr w:rsidR="009372C9" w:rsidRPr="00496ECA" w14:paraId="482A4608"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tcPr>
                <w:p w14:paraId="4208C470" w14:textId="77777777" w:rsidR="009372C9" w:rsidRPr="00496ECA" w:rsidRDefault="009372C9" w:rsidP="009372C9">
                  <w:pPr>
                    <w:spacing w:after="0" w:line="240" w:lineRule="auto"/>
                    <w:rPr>
                      <w:rFonts w:cs="Arial"/>
                      <w:sz w:val="16"/>
                      <w:szCs w:val="16"/>
                      <w:lang w:eastAsia="en-AU"/>
                    </w:rPr>
                  </w:pPr>
                  <w:r>
                    <w:rPr>
                      <w:rFonts w:cs="Arial"/>
                      <w:sz w:val="16"/>
                      <w:szCs w:val="16"/>
                      <w:lang w:eastAsia="en-AU"/>
                    </w:rPr>
                    <w:t>Gov/Board Reporting</w:t>
                  </w:r>
                </w:p>
              </w:tc>
              <w:tc>
                <w:tcPr>
                  <w:tcW w:w="786" w:type="dxa"/>
                  <w:tcBorders>
                    <w:top w:val="nil"/>
                    <w:left w:val="nil"/>
                    <w:bottom w:val="single" w:sz="4" w:space="0" w:color="auto"/>
                    <w:right w:val="single" w:sz="4" w:space="0" w:color="auto"/>
                  </w:tcBorders>
                  <w:vAlign w:val="center"/>
                </w:tcPr>
                <w:p w14:paraId="6564D82C" w14:textId="27115377" w:rsidR="009372C9" w:rsidRPr="009372C9" w:rsidRDefault="009372C9" w:rsidP="009372C9">
                  <w:pPr>
                    <w:spacing w:after="0" w:line="240" w:lineRule="auto"/>
                    <w:jc w:val="right"/>
                    <w:rPr>
                      <w:rFonts w:cs="Arial"/>
                      <w:sz w:val="16"/>
                      <w:szCs w:val="16"/>
                      <w:lang w:eastAsia="en-AU"/>
                    </w:rPr>
                  </w:pPr>
                  <w:r w:rsidRPr="009372C9">
                    <w:rPr>
                      <w:rFonts w:cs="Arial"/>
                      <w:sz w:val="16"/>
                      <w:szCs w:val="16"/>
                    </w:rPr>
                    <w:t>38K</w:t>
                  </w:r>
                </w:p>
              </w:tc>
              <w:tc>
                <w:tcPr>
                  <w:tcW w:w="764" w:type="dxa"/>
                  <w:tcBorders>
                    <w:top w:val="nil"/>
                    <w:left w:val="nil"/>
                    <w:bottom w:val="single" w:sz="4" w:space="0" w:color="auto"/>
                    <w:right w:val="single" w:sz="4" w:space="0" w:color="auto"/>
                  </w:tcBorders>
                  <w:vAlign w:val="center"/>
                </w:tcPr>
                <w:p w14:paraId="68C607DE" w14:textId="5EBBCC54" w:rsidR="009372C9" w:rsidRPr="009372C9" w:rsidRDefault="009372C9" w:rsidP="009372C9">
                  <w:pPr>
                    <w:spacing w:after="0" w:line="240" w:lineRule="auto"/>
                    <w:jc w:val="right"/>
                    <w:rPr>
                      <w:rFonts w:cs="Arial"/>
                      <w:sz w:val="16"/>
                      <w:szCs w:val="16"/>
                      <w:lang w:eastAsia="en-AU"/>
                    </w:rPr>
                  </w:pPr>
                  <w:r w:rsidRPr="009372C9">
                    <w:rPr>
                      <w:rFonts w:cs="Arial"/>
                      <w:sz w:val="16"/>
                      <w:szCs w:val="16"/>
                    </w:rPr>
                    <w:t>48K</w:t>
                  </w:r>
                </w:p>
              </w:tc>
              <w:tc>
                <w:tcPr>
                  <w:tcW w:w="764" w:type="dxa"/>
                  <w:tcBorders>
                    <w:top w:val="nil"/>
                    <w:left w:val="nil"/>
                    <w:bottom w:val="single" w:sz="4" w:space="0" w:color="auto"/>
                    <w:right w:val="single" w:sz="4" w:space="0" w:color="auto"/>
                  </w:tcBorders>
                  <w:vAlign w:val="center"/>
                </w:tcPr>
                <w:p w14:paraId="1028C178" w14:textId="659A9305" w:rsidR="009372C9" w:rsidRPr="009372C9" w:rsidRDefault="009372C9" w:rsidP="009372C9">
                  <w:pPr>
                    <w:spacing w:after="0" w:line="240" w:lineRule="auto"/>
                    <w:jc w:val="right"/>
                    <w:rPr>
                      <w:rFonts w:cs="Arial"/>
                      <w:sz w:val="16"/>
                      <w:szCs w:val="16"/>
                      <w:lang w:eastAsia="en-AU"/>
                    </w:rPr>
                  </w:pPr>
                  <w:r w:rsidRPr="009372C9">
                    <w:rPr>
                      <w:rFonts w:cs="Arial"/>
                      <w:sz w:val="16"/>
                      <w:szCs w:val="16"/>
                    </w:rPr>
                    <w:t>34K</w:t>
                  </w:r>
                </w:p>
              </w:tc>
              <w:tc>
                <w:tcPr>
                  <w:tcW w:w="752" w:type="dxa"/>
                  <w:tcBorders>
                    <w:top w:val="nil"/>
                    <w:left w:val="nil"/>
                    <w:bottom w:val="single" w:sz="4" w:space="0" w:color="auto"/>
                    <w:right w:val="single" w:sz="4" w:space="0" w:color="auto"/>
                  </w:tcBorders>
                  <w:vAlign w:val="center"/>
                </w:tcPr>
                <w:p w14:paraId="0692C8B4" w14:textId="76072538" w:rsidR="009372C9" w:rsidRPr="009372C9" w:rsidRDefault="009372C9" w:rsidP="009372C9">
                  <w:pPr>
                    <w:spacing w:after="0" w:line="240" w:lineRule="auto"/>
                    <w:jc w:val="right"/>
                    <w:rPr>
                      <w:rFonts w:cs="Arial"/>
                      <w:sz w:val="16"/>
                      <w:szCs w:val="16"/>
                      <w:lang w:eastAsia="en-AU"/>
                    </w:rPr>
                  </w:pPr>
                  <w:r w:rsidRPr="009372C9">
                    <w:rPr>
                      <w:rFonts w:cs="Arial"/>
                      <w:sz w:val="16"/>
                      <w:szCs w:val="16"/>
                    </w:rPr>
                    <w:t>34K</w:t>
                  </w:r>
                </w:p>
              </w:tc>
            </w:tr>
            <w:tr w:rsidR="009372C9" w:rsidRPr="00496ECA" w14:paraId="6A331357" w14:textId="77777777" w:rsidTr="009372C9">
              <w:trPr>
                <w:trHeight w:val="284"/>
              </w:trPr>
              <w:tc>
                <w:tcPr>
                  <w:tcW w:w="2032" w:type="dxa"/>
                  <w:tcBorders>
                    <w:top w:val="nil"/>
                    <w:left w:val="single" w:sz="4" w:space="0" w:color="auto"/>
                    <w:bottom w:val="single" w:sz="4" w:space="0" w:color="auto"/>
                    <w:right w:val="single" w:sz="4" w:space="0" w:color="auto"/>
                  </w:tcBorders>
                  <w:noWrap/>
                  <w:vAlign w:val="center"/>
                  <w:hideMark/>
                </w:tcPr>
                <w:p w14:paraId="18CD73EE" w14:textId="77777777" w:rsidR="009372C9" w:rsidRPr="00496ECA" w:rsidRDefault="009372C9" w:rsidP="009372C9">
                  <w:pPr>
                    <w:spacing w:after="0" w:line="240" w:lineRule="auto"/>
                    <w:rPr>
                      <w:rFonts w:cs="Arial"/>
                      <w:b/>
                      <w:bCs/>
                      <w:sz w:val="16"/>
                      <w:szCs w:val="16"/>
                      <w:lang w:eastAsia="en-AU"/>
                    </w:rPr>
                  </w:pPr>
                  <w:r w:rsidRPr="00496ECA">
                    <w:rPr>
                      <w:rFonts w:cs="Arial"/>
                      <w:b/>
                      <w:bCs/>
                      <w:sz w:val="16"/>
                      <w:szCs w:val="16"/>
                      <w:lang w:eastAsia="en-AU"/>
                    </w:rPr>
                    <w:t>TOTAL</w:t>
                  </w:r>
                </w:p>
              </w:tc>
              <w:tc>
                <w:tcPr>
                  <w:tcW w:w="786" w:type="dxa"/>
                  <w:tcBorders>
                    <w:top w:val="nil"/>
                    <w:left w:val="nil"/>
                    <w:bottom w:val="single" w:sz="4" w:space="0" w:color="auto"/>
                    <w:right w:val="single" w:sz="4" w:space="0" w:color="auto"/>
                  </w:tcBorders>
                  <w:noWrap/>
                  <w:vAlign w:val="center"/>
                </w:tcPr>
                <w:p w14:paraId="1CE52ED4" w14:textId="0B2BBF98"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563K</w:t>
                  </w:r>
                </w:p>
              </w:tc>
              <w:tc>
                <w:tcPr>
                  <w:tcW w:w="764" w:type="dxa"/>
                  <w:tcBorders>
                    <w:top w:val="nil"/>
                    <w:left w:val="nil"/>
                    <w:bottom w:val="single" w:sz="4" w:space="0" w:color="auto"/>
                    <w:right w:val="single" w:sz="4" w:space="0" w:color="auto"/>
                  </w:tcBorders>
                  <w:noWrap/>
                  <w:vAlign w:val="center"/>
                </w:tcPr>
                <w:p w14:paraId="1F424BCA" w14:textId="2861F393"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532K</w:t>
                  </w:r>
                </w:p>
              </w:tc>
              <w:tc>
                <w:tcPr>
                  <w:tcW w:w="764" w:type="dxa"/>
                  <w:tcBorders>
                    <w:top w:val="nil"/>
                    <w:left w:val="nil"/>
                    <w:bottom w:val="single" w:sz="4" w:space="0" w:color="auto"/>
                    <w:right w:val="single" w:sz="4" w:space="0" w:color="auto"/>
                  </w:tcBorders>
                  <w:noWrap/>
                  <w:vAlign w:val="center"/>
                </w:tcPr>
                <w:p w14:paraId="4D6256E1" w14:textId="50CA2192"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482K</w:t>
                  </w:r>
                </w:p>
              </w:tc>
              <w:tc>
                <w:tcPr>
                  <w:tcW w:w="752" w:type="dxa"/>
                  <w:tcBorders>
                    <w:top w:val="nil"/>
                    <w:left w:val="nil"/>
                    <w:bottom w:val="single" w:sz="4" w:space="0" w:color="auto"/>
                    <w:right w:val="single" w:sz="4" w:space="0" w:color="auto"/>
                  </w:tcBorders>
                  <w:noWrap/>
                  <w:vAlign w:val="center"/>
                </w:tcPr>
                <w:p w14:paraId="50ABCF0D" w14:textId="7576CFB4" w:rsidR="009372C9" w:rsidRPr="009372C9" w:rsidRDefault="009372C9" w:rsidP="009372C9">
                  <w:pPr>
                    <w:spacing w:after="0" w:line="240" w:lineRule="auto"/>
                    <w:jc w:val="right"/>
                    <w:rPr>
                      <w:rFonts w:cs="Arial"/>
                      <w:b/>
                      <w:bCs/>
                      <w:sz w:val="16"/>
                      <w:szCs w:val="16"/>
                      <w:lang w:eastAsia="en-AU"/>
                    </w:rPr>
                  </w:pPr>
                  <w:r w:rsidRPr="009372C9">
                    <w:rPr>
                      <w:rFonts w:cs="Arial"/>
                      <w:b/>
                      <w:sz w:val="16"/>
                      <w:szCs w:val="16"/>
                    </w:rPr>
                    <w:t>476K</w:t>
                  </w:r>
                </w:p>
              </w:tc>
            </w:tr>
          </w:tbl>
          <w:p w14:paraId="4ABBA4F5" w14:textId="68AF4661" w:rsidR="00E0767F" w:rsidRPr="008E7494" w:rsidRDefault="00E0767F" w:rsidP="00703AF9">
            <w:pPr>
              <w:widowControl w:val="0"/>
              <w:autoSpaceDE w:val="0"/>
              <w:autoSpaceDN w:val="0"/>
              <w:adjustRightInd w:val="0"/>
              <w:spacing w:line="240" w:lineRule="auto"/>
              <w:ind w:left="851" w:hanging="851"/>
              <w:rPr>
                <w:rFonts w:cs="Arial"/>
                <w:color w:val="446E82"/>
                <w:sz w:val="24"/>
              </w:rPr>
            </w:pPr>
          </w:p>
        </w:tc>
        <w:tc>
          <w:tcPr>
            <w:tcW w:w="5564" w:type="dxa"/>
          </w:tcPr>
          <w:p w14:paraId="1BB43076" w14:textId="77777777" w:rsidR="00E0767F" w:rsidRPr="009B3406" w:rsidRDefault="00E0767F" w:rsidP="009B3406">
            <w:pPr>
              <w:pStyle w:val="Heading3"/>
            </w:pPr>
            <w:r w:rsidRPr="009B3406">
              <w:t>Statement of financial position</w:t>
            </w:r>
          </w:p>
          <w:p w14:paraId="6AB3D018" w14:textId="77777777" w:rsidR="00E0767F" w:rsidRPr="008E7494" w:rsidRDefault="00E0767F" w:rsidP="00703AF9">
            <w:r w:rsidRPr="008E7494">
              <w:t>Total assets at 30 June 201</w:t>
            </w:r>
            <w:r>
              <w:t>9</w:t>
            </w:r>
            <w:r w:rsidRPr="008E7494">
              <w:t xml:space="preserve"> consisted of current assets of cash, prepayments and receivables in addition to non-current plant and equipment.</w:t>
            </w:r>
          </w:p>
          <w:p w14:paraId="0F430F86" w14:textId="77777777" w:rsidR="00E0767F" w:rsidRPr="008E7494" w:rsidRDefault="00E0767F" w:rsidP="00703AF9">
            <w:r w:rsidRPr="008E7494">
              <w:t>Total liabilities as at 30 June 201</w:t>
            </w:r>
            <w:r>
              <w:t>9</w:t>
            </w:r>
            <w:r w:rsidRPr="008E7494">
              <w:t xml:space="preserve"> consisted of payables and accrued employee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1"/>
              <w:gridCol w:w="850"/>
              <w:gridCol w:w="992"/>
            </w:tblGrid>
            <w:tr w:rsidR="00E0767F" w:rsidRPr="008E7494" w14:paraId="08227949" w14:textId="77777777" w:rsidTr="00703AF9">
              <w:trPr>
                <w:trHeight w:val="227"/>
              </w:trPr>
              <w:tc>
                <w:tcPr>
                  <w:tcW w:w="303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AB74340" w14:textId="77777777" w:rsidR="00E0767F" w:rsidRPr="00B86060" w:rsidRDefault="00E0767F" w:rsidP="00703AF9">
                  <w:pPr>
                    <w:spacing w:after="0"/>
                    <w:rPr>
                      <w:b/>
                    </w:rPr>
                  </w:pPr>
                  <w:r w:rsidRPr="00B86060">
                    <w:rPr>
                      <w:b/>
                    </w:rPr>
                    <w:t>Statement of financial position</w:t>
                  </w:r>
                </w:p>
              </w:tc>
              <w:tc>
                <w:tcPr>
                  <w:tcW w:w="850" w:type="dxa"/>
                  <w:tcBorders>
                    <w:top w:val="single" w:sz="4" w:space="0" w:color="auto"/>
                    <w:left w:val="single" w:sz="4" w:space="0" w:color="auto"/>
                    <w:right w:val="single" w:sz="4" w:space="0" w:color="auto"/>
                  </w:tcBorders>
                  <w:tcMar>
                    <w:top w:w="80" w:type="dxa"/>
                    <w:left w:w="80" w:type="dxa"/>
                    <w:bottom w:w="80" w:type="dxa"/>
                    <w:right w:w="80" w:type="dxa"/>
                  </w:tcMar>
                </w:tcPr>
                <w:p w14:paraId="039BB13D" w14:textId="77777777" w:rsidR="00E0767F" w:rsidRPr="00B86060" w:rsidRDefault="00E0767F" w:rsidP="00703AF9">
                  <w:pPr>
                    <w:spacing w:after="0" w:line="240" w:lineRule="auto"/>
                    <w:jc w:val="right"/>
                    <w:rPr>
                      <w:b/>
                    </w:rPr>
                  </w:pPr>
                  <w:r w:rsidRPr="00B86060">
                    <w:rPr>
                      <w:b/>
                    </w:rPr>
                    <w:t>30 Jun 201</w:t>
                  </w:r>
                  <w:r>
                    <w:rPr>
                      <w:b/>
                    </w:rPr>
                    <w:t>9</w:t>
                  </w:r>
                </w:p>
              </w:tc>
              <w:tc>
                <w:tcPr>
                  <w:tcW w:w="992" w:type="dxa"/>
                  <w:tcBorders>
                    <w:top w:val="single" w:sz="4" w:space="0" w:color="auto"/>
                    <w:left w:val="single" w:sz="4" w:space="0" w:color="auto"/>
                    <w:right w:val="single" w:sz="4" w:space="0" w:color="auto"/>
                  </w:tcBorders>
                  <w:tcMar>
                    <w:top w:w="80" w:type="dxa"/>
                    <w:left w:w="80" w:type="dxa"/>
                    <w:bottom w:w="80" w:type="dxa"/>
                    <w:right w:w="80" w:type="dxa"/>
                  </w:tcMar>
                </w:tcPr>
                <w:p w14:paraId="06EB337A" w14:textId="77777777" w:rsidR="00E0767F" w:rsidRPr="00B86060" w:rsidRDefault="00E0767F" w:rsidP="00703AF9">
                  <w:pPr>
                    <w:spacing w:after="0" w:line="240" w:lineRule="auto"/>
                    <w:jc w:val="right"/>
                    <w:rPr>
                      <w:b/>
                    </w:rPr>
                  </w:pPr>
                  <w:r w:rsidRPr="00B86060">
                    <w:rPr>
                      <w:b/>
                    </w:rPr>
                    <w:t>30 Jun 201</w:t>
                  </w:r>
                  <w:r>
                    <w:rPr>
                      <w:b/>
                    </w:rPr>
                    <w:t>8</w:t>
                  </w:r>
                  <w:r w:rsidRPr="00B86060">
                    <w:rPr>
                      <w:b/>
                    </w:rPr>
                    <w:t xml:space="preserve"> </w:t>
                  </w:r>
                </w:p>
              </w:tc>
            </w:tr>
            <w:tr w:rsidR="00E0767F" w:rsidRPr="008E7494" w14:paraId="3CD65362" w14:textId="77777777" w:rsidTr="00703AF9">
              <w:trPr>
                <w:trHeight w:val="227"/>
              </w:trPr>
              <w:tc>
                <w:tcPr>
                  <w:tcW w:w="3031"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D938E35" w14:textId="77777777" w:rsidR="00E0767F" w:rsidRPr="00F37F69" w:rsidRDefault="00E0767F" w:rsidP="00703AF9">
                  <w:pPr>
                    <w:spacing w:after="0"/>
                    <w:rPr>
                      <w:b/>
                    </w:rPr>
                  </w:pPr>
                </w:p>
              </w:tc>
              <w:tc>
                <w:tcPr>
                  <w:tcW w:w="850" w:type="dxa"/>
                  <w:tcBorders>
                    <w:left w:val="single" w:sz="4" w:space="0" w:color="auto"/>
                    <w:bottom w:val="single" w:sz="4" w:space="0" w:color="auto"/>
                    <w:right w:val="single" w:sz="4" w:space="0" w:color="auto"/>
                  </w:tcBorders>
                  <w:tcMar>
                    <w:top w:w="80" w:type="dxa"/>
                    <w:left w:w="80" w:type="dxa"/>
                    <w:bottom w:w="80" w:type="dxa"/>
                    <w:right w:w="80" w:type="dxa"/>
                  </w:tcMar>
                </w:tcPr>
                <w:p w14:paraId="10C352EF" w14:textId="77777777" w:rsidR="00E0767F" w:rsidRPr="00F37F69" w:rsidRDefault="00E0767F" w:rsidP="00703AF9">
                  <w:pPr>
                    <w:spacing w:after="0" w:line="240" w:lineRule="auto"/>
                    <w:jc w:val="right"/>
                    <w:rPr>
                      <w:b/>
                    </w:rPr>
                  </w:pPr>
                  <w:r w:rsidRPr="00F37F69">
                    <w:rPr>
                      <w:b/>
                    </w:rPr>
                    <w:t>$000</w:t>
                  </w:r>
                </w:p>
              </w:tc>
              <w:tc>
                <w:tcPr>
                  <w:tcW w:w="992" w:type="dxa"/>
                  <w:tcBorders>
                    <w:left w:val="single" w:sz="4" w:space="0" w:color="auto"/>
                    <w:bottom w:val="single" w:sz="4" w:space="0" w:color="auto"/>
                    <w:right w:val="single" w:sz="4" w:space="0" w:color="auto"/>
                  </w:tcBorders>
                  <w:tcMar>
                    <w:top w:w="80" w:type="dxa"/>
                    <w:left w:w="80" w:type="dxa"/>
                    <w:bottom w:w="80" w:type="dxa"/>
                    <w:right w:w="80" w:type="dxa"/>
                  </w:tcMar>
                </w:tcPr>
                <w:p w14:paraId="30515FD6" w14:textId="77777777" w:rsidR="00E0767F" w:rsidRPr="00F37F69" w:rsidRDefault="00E0767F" w:rsidP="00703AF9">
                  <w:pPr>
                    <w:spacing w:after="0" w:line="240" w:lineRule="auto"/>
                    <w:jc w:val="right"/>
                    <w:rPr>
                      <w:b/>
                    </w:rPr>
                  </w:pPr>
                  <w:r w:rsidRPr="00F37F69">
                    <w:rPr>
                      <w:b/>
                    </w:rPr>
                    <w:t>$000</w:t>
                  </w:r>
                </w:p>
              </w:tc>
            </w:tr>
            <w:tr w:rsidR="00E0767F" w:rsidRPr="005B079F" w14:paraId="40F12679" w14:textId="77777777" w:rsidTr="00703AF9">
              <w:trPr>
                <w:trHeight w:val="284"/>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549AAC0" w14:textId="77777777" w:rsidR="00E0767F" w:rsidRPr="005B079F" w:rsidRDefault="00E0767F" w:rsidP="00703AF9">
                  <w:pPr>
                    <w:spacing w:after="0"/>
                  </w:pPr>
                  <w:r w:rsidRPr="005B079F">
                    <w:t>Current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283A8C" w14:textId="77777777" w:rsidR="00E0767F" w:rsidRPr="005B079F" w:rsidRDefault="00E0767F" w:rsidP="00703AF9">
                  <w:pPr>
                    <w:spacing w:after="0"/>
                    <w:jc w:val="right"/>
                  </w:pPr>
                  <w:r w:rsidRPr="005B079F">
                    <w:t>1,747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5B12E9" w14:textId="77777777" w:rsidR="00E0767F" w:rsidRPr="005B079F" w:rsidRDefault="00E0767F" w:rsidP="00703AF9">
                  <w:pPr>
                    <w:spacing w:after="0"/>
                    <w:jc w:val="right"/>
                  </w:pPr>
                  <w:r w:rsidRPr="005B079F">
                    <w:t>1,900</w:t>
                  </w:r>
                </w:p>
              </w:tc>
            </w:tr>
            <w:tr w:rsidR="00E0767F" w:rsidRPr="005B079F" w14:paraId="4ABA51D7"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5DC1C7" w14:textId="77777777" w:rsidR="00E0767F" w:rsidRPr="005B079F" w:rsidRDefault="00E0767F" w:rsidP="00703AF9">
                  <w:pPr>
                    <w:spacing w:after="0"/>
                  </w:pPr>
                  <w:r w:rsidRPr="005B079F">
                    <w:t>Non-current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DDFE501" w14:textId="77777777" w:rsidR="00E0767F" w:rsidRPr="005B079F" w:rsidRDefault="00E0767F" w:rsidP="00703AF9">
                  <w:pPr>
                    <w:spacing w:after="0"/>
                    <w:jc w:val="right"/>
                  </w:pPr>
                  <w:r w:rsidRPr="005B079F">
                    <w:t>16</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1613EFD" w14:textId="77777777" w:rsidR="00E0767F" w:rsidRPr="005B079F" w:rsidRDefault="00E0767F" w:rsidP="00703AF9">
                  <w:pPr>
                    <w:spacing w:after="0"/>
                    <w:jc w:val="right"/>
                  </w:pPr>
                  <w:r w:rsidRPr="005B079F">
                    <w:t>8</w:t>
                  </w:r>
                </w:p>
              </w:tc>
            </w:tr>
            <w:tr w:rsidR="00E0767F" w:rsidRPr="005B079F" w14:paraId="79F1A04C"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E28E74" w14:textId="77777777" w:rsidR="00E0767F" w:rsidRPr="005B079F" w:rsidRDefault="00E0767F" w:rsidP="00703AF9">
                  <w:pPr>
                    <w:spacing w:after="0"/>
                    <w:rPr>
                      <w:b/>
                    </w:rPr>
                  </w:pPr>
                  <w:r w:rsidRPr="005B079F">
                    <w:rPr>
                      <w:b/>
                    </w:rPr>
                    <w:t>Total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7FE0D0" w14:textId="77777777" w:rsidR="00E0767F" w:rsidRPr="005B079F" w:rsidRDefault="00E0767F" w:rsidP="00703AF9">
                  <w:pPr>
                    <w:spacing w:after="0"/>
                    <w:jc w:val="right"/>
                    <w:rPr>
                      <w:b/>
                    </w:rPr>
                  </w:pPr>
                  <w:r w:rsidRPr="005B079F">
                    <w:rPr>
                      <w:b/>
                    </w:rPr>
                    <w:t>1,763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2E08241" w14:textId="77777777" w:rsidR="00E0767F" w:rsidRPr="005B079F" w:rsidRDefault="00E0767F" w:rsidP="00703AF9">
                  <w:pPr>
                    <w:spacing w:after="0"/>
                    <w:jc w:val="right"/>
                    <w:rPr>
                      <w:b/>
                    </w:rPr>
                  </w:pPr>
                  <w:r w:rsidRPr="005B079F">
                    <w:rPr>
                      <w:b/>
                    </w:rPr>
                    <w:t>1,908</w:t>
                  </w:r>
                </w:p>
              </w:tc>
            </w:tr>
            <w:tr w:rsidR="00E0767F" w:rsidRPr="005B079F" w14:paraId="73157EA9"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59F75A7" w14:textId="77777777" w:rsidR="00E0767F" w:rsidRPr="005B079F" w:rsidRDefault="00E0767F" w:rsidP="00703AF9">
                  <w:pPr>
                    <w:spacing w:after="0"/>
                  </w:pPr>
                  <w:r w:rsidRPr="005B079F">
                    <w:t>Current liabilities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7163C2" w14:textId="77777777" w:rsidR="00E0767F" w:rsidRPr="005B079F" w:rsidRDefault="00E0767F" w:rsidP="00703AF9">
                  <w:pPr>
                    <w:spacing w:after="0"/>
                    <w:jc w:val="right"/>
                  </w:pPr>
                  <w:r w:rsidRPr="005B079F">
                    <w:t>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60CC605" w14:textId="77777777" w:rsidR="00E0767F" w:rsidRPr="005B079F" w:rsidRDefault="00E0767F" w:rsidP="00703AF9">
                  <w:pPr>
                    <w:spacing w:after="0"/>
                    <w:jc w:val="right"/>
                  </w:pPr>
                  <w:r w:rsidRPr="005B079F">
                    <w:t>296</w:t>
                  </w:r>
                </w:p>
              </w:tc>
            </w:tr>
            <w:tr w:rsidR="00E0767F" w:rsidRPr="005B079F" w14:paraId="08A4865C"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A9193A" w14:textId="77777777" w:rsidR="00E0767F" w:rsidRPr="005B079F" w:rsidRDefault="00E0767F" w:rsidP="00703AF9">
                  <w:pPr>
                    <w:spacing w:after="0"/>
                    <w:rPr>
                      <w:b/>
                    </w:rPr>
                  </w:pPr>
                  <w:r w:rsidRPr="005B079F">
                    <w:rPr>
                      <w:b/>
                    </w:rPr>
                    <w:t>Total liabilities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39750C" w14:textId="77777777" w:rsidR="00E0767F" w:rsidRPr="005B079F" w:rsidRDefault="00E0767F" w:rsidP="00703AF9">
                  <w:pPr>
                    <w:spacing w:after="0"/>
                    <w:jc w:val="right"/>
                    <w:rPr>
                      <w:b/>
                    </w:rPr>
                  </w:pPr>
                  <w:r w:rsidRPr="005B079F">
                    <w:rPr>
                      <w:b/>
                    </w:rPr>
                    <w:t>334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B4C494B" w14:textId="77777777" w:rsidR="00E0767F" w:rsidRPr="005B079F" w:rsidRDefault="00E0767F" w:rsidP="00703AF9">
                  <w:pPr>
                    <w:spacing w:after="0"/>
                    <w:jc w:val="right"/>
                    <w:rPr>
                      <w:b/>
                    </w:rPr>
                  </w:pPr>
                  <w:r w:rsidRPr="005B079F">
                    <w:rPr>
                      <w:b/>
                    </w:rPr>
                    <w:t>296</w:t>
                  </w:r>
                </w:p>
              </w:tc>
            </w:tr>
            <w:tr w:rsidR="00E0767F" w:rsidRPr="005B079F" w14:paraId="05109DA7"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C32F2C" w14:textId="77777777" w:rsidR="00E0767F" w:rsidRPr="005B079F" w:rsidRDefault="00E0767F" w:rsidP="00703AF9">
                  <w:pPr>
                    <w:spacing w:after="0"/>
                  </w:pPr>
                  <w:r w:rsidRPr="005B079F">
                    <w:t>Net assets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CF563DB" w14:textId="77777777" w:rsidR="00E0767F" w:rsidRPr="005B079F" w:rsidRDefault="00E0767F" w:rsidP="00703AF9">
                  <w:pPr>
                    <w:spacing w:after="0"/>
                    <w:jc w:val="right"/>
                  </w:pPr>
                  <w:r w:rsidRPr="005B079F">
                    <w:t>1,429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049D3B" w14:textId="77777777" w:rsidR="00E0767F" w:rsidRPr="005B079F" w:rsidRDefault="00E0767F" w:rsidP="00703AF9">
                  <w:pPr>
                    <w:spacing w:after="0"/>
                    <w:jc w:val="right"/>
                  </w:pPr>
                  <w:r w:rsidRPr="005B079F">
                    <w:t>1,612</w:t>
                  </w:r>
                </w:p>
              </w:tc>
            </w:tr>
            <w:tr w:rsidR="00E0767F" w:rsidRPr="008E7494" w14:paraId="15AD2D0B" w14:textId="77777777" w:rsidTr="00703AF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7CD280" w14:textId="77777777" w:rsidR="00E0767F" w:rsidRPr="005B079F" w:rsidRDefault="00E0767F" w:rsidP="00703AF9">
                  <w:pPr>
                    <w:spacing w:after="0"/>
                    <w:rPr>
                      <w:b/>
                    </w:rPr>
                  </w:pPr>
                  <w:r w:rsidRPr="005B079F">
                    <w:rPr>
                      <w:b/>
                    </w:rPr>
                    <w:t>Total equity</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A47999" w14:textId="77777777" w:rsidR="00E0767F" w:rsidRPr="005B079F" w:rsidRDefault="00E0767F" w:rsidP="00703AF9">
                  <w:pPr>
                    <w:spacing w:after="0"/>
                    <w:jc w:val="right"/>
                    <w:rPr>
                      <w:b/>
                    </w:rPr>
                  </w:pPr>
                  <w:r w:rsidRPr="005B079F">
                    <w:rPr>
                      <w:b/>
                    </w:rPr>
                    <w:t>1,429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D9E182" w14:textId="77777777" w:rsidR="00E0767F" w:rsidRPr="008E7494" w:rsidRDefault="00E0767F" w:rsidP="00703AF9">
                  <w:pPr>
                    <w:spacing w:after="0"/>
                    <w:jc w:val="right"/>
                    <w:rPr>
                      <w:b/>
                    </w:rPr>
                  </w:pPr>
                  <w:r w:rsidRPr="005B079F">
                    <w:rPr>
                      <w:b/>
                    </w:rPr>
                    <w:t>1,612</w:t>
                  </w:r>
                </w:p>
              </w:tc>
            </w:tr>
          </w:tbl>
          <w:p w14:paraId="2FA5B94B" w14:textId="77777777" w:rsidR="00E0767F" w:rsidRPr="008E7494" w:rsidRDefault="00E0767F" w:rsidP="00703AF9"/>
          <w:p w14:paraId="03C231DD" w14:textId="77777777" w:rsidR="00E0767F" w:rsidRPr="009B3406" w:rsidRDefault="00E0767F" w:rsidP="009B3406">
            <w:pPr>
              <w:pStyle w:val="Heading3"/>
            </w:pPr>
            <w:r w:rsidRPr="009B3406">
              <w:t>Cash flow statement</w:t>
            </w:r>
          </w:p>
          <w:p w14:paraId="4BFFA6ED" w14:textId="77777777" w:rsidR="00E0767F" w:rsidRPr="008E7494" w:rsidRDefault="00E0767F" w:rsidP="00703AF9">
            <w:r w:rsidRPr="008E7494">
              <w:t>The cash flow statement shows the nature and amount of the Commission’s cash inflows and outflows from all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850"/>
              <w:gridCol w:w="989"/>
            </w:tblGrid>
            <w:tr w:rsidR="00E0767F" w:rsidRPr="008E7494" w14:paraId="59411431" w14:textId="77777777" w:rsidTr="00703AF9">
              <w:trPr>
                <w:trHeight w:val="227"/>
              </w:trPr>
              <w:tc>
                <w:tcPr>
                  <w:tcW w:w="3034"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9B3C26B" w14:textId="77777777" w:rsidR="00E0767F" w:rsidRPr="00B86060" w:rsidRDefault="00E0767F" w:rsidP="00703AF9">
                  <w:pPr>
                    <w:spacing w:after="0"/>
                    <w:rPr>
                      <w:b/>
                    </w:rPr>
                  </w:pPr>
                  <w:r w:rsidRPr="00B86060">
                    <w:rPr>
                      <w:b/>
                    </w:rPr>
                    <w:t>Cash flow statement</w:t>
                  </w:r>
                </w:p>
              </w:tc>
              <w:tc>
                <w:tcPr>
                  <w:tcW w:w="850" w:type="dxa"/>
                  <w:tcBorders>
                    <w:top w:val="single" w:sz="4" w:space="0" w:color="auto"/>
                    <w:left w:val="single" w:sz="4" w:space="0" w:color="auto"/>
                    <w:right w:val="single" w:sz="4" w:space="0" w:color="auto"/>
                  </w:tcBorders>
                  <w:tcMar>
                    <w:top w:w="80" w:type="dxa"/>
                    <w:left w:w="80" w:type="dxa"/>
                    <w:bottom w:w="80" w:type="dxa"/>
                    <w:right w:w="80" w:type="dxa"/>
                  </w:tcMar>
                </w:tcPr>
                <w:p w14:paraId="7036410F" w14:textId="77777777" w:rsidR="00E0767F" w:rsidRPr="00B86060" w:rsidRDefault="00E0767F" w:rsidP="00703AF9">
                  <w:pPr>
                    <w:spacing w:after="0" w:line="240" w:lineRule="auto"/>
                    <w:jc w:val="right"/>
                    <w:rPr>
                      <w:b/>
                    </w:rPr>
                  </w:pPr>
                  <w:r w:rsidRPr="00B86060">
                    <w:rPr>
                      <w:b/>
                    </w:rPr>
                    <w:t>30 Jun 201</w:t>
                  </w:r>
                  <w:r>
                    <w:rPr>
                      <w:b/>
                    </w:rPr>
                    <w:t>9</w:t>
                  </w:r>
                </w:p>
              </w:tc>
              <w:tc>
                <w:tcPr>
                  <w:tcW w:w="989" w:type="dxa"/>
                  <w:tcBorders>
                    <w:top w:val="single" w:sz="4" w:space="0" w:color="auto"/>
                    <w:left w:val="single" w:sz="4" w:space="0" w:color="auto"/>
                    <w:right w:val="single" w:sz="4" w:space="0" w:color="auto"/>
                  </w:tcBorders>
                  <w:tcMar>
                    <w:top w:w="80" w:type="dxa"/>
                    <w:left w:w="80" w:type="dxa"/>
                    <w:bottom w:w="80" w:type="dxa"/>
                    <w:right w:w="80" w:type="dxa"/>
                  </w:tcMar>
                </w:tcPr>
                <w:p w14:paraId="6C6AD382" w14:textId="77777777" w:rsidR="00E0767F" w:rsidRPr="00B86060" w:rsidRDefault="00E0767F" w:rsidP="00703AF9">
                  <w:pPr>
                    <w:spacing w:after="0" w:line="240" w:lineRule="auto"/>
                    <w:jc w:val="right"/>
                    <w:rPr>
                      <w:b/>
                    </w:rPr>
                  </w:pPr>
                  <w:r w:rsidRPr="00B86060">
                    <w:rPr>
                      <w:b/>
                    </w:rPr>
                    <w:t>30 Jun 201</w:t>
                  </w:r>
                  <w:r>
                    <w:rPr>
                      <w:b/>
                    </w:rPr>
                    <w:t>8</w:t>
                  </w:r>
                  <w:r w:rsidRPr="00B86060">
                    <w:rPr>
                      <w:b/>
                    </w:rPr>
                    <w:t xml:space="preserve"> </w:t>
                  </w:r>
                </w:p>
              </w:tc>
            </w:tr>
            <w:tr w:rsidR="00E0767F" w:rsidRPr="008E7494" w14:paraId="200824AC" w14:textId="77777777" w:rsidTr="00703AF9">
              <w:trPr>
                <w:trHeight w:val="227"/>
              </w:trPr>
              <w:tc>
                <w:tcPr>
                  <w:tcW w:w="3034"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0B08048" w14:textId="77777777" w:rsidR="00E0767F" w:rsidRPr="00F37F69" w:rsidRDefault="00E0767F" w:rsidP="00703AF9">
                  <w:pPr>
                    <w:spacing w:after="0"/>
                    <w:rPr>
                      <w:b/>
                    </w:rPr>
                  </w:pPr>
                </w:p>
              </w:tc>
              <w:tc>
                <w:tcPr>
                  <w:tcW w:w="850" w:type="dxa"/>
                  <w:tcBorders>
                    <w:left w:val="single" w:sz="4" w:space="0" w:color="auto"/>
                    <w:bottom w:val="single" w:sz="4" w:space="0" w:color="auto"/>
                    <w:right w:val="single" w:sz="4" w:space="0" w:color="auto"/>
                  </w:tcBorders>
                  <w:tcMar>
                    <w:top w:w="80" w:type="dxa"/>
                    <w:left w:w="80" w:type="dxa"/>
                    <w:bottom w:w="80" w:type="dxa"/>
                    <w:right w:w="80" w:type="dxa"/>
                  </w:tcMar>
                </w:tcPr>
                <w:p w14:paraId="7E3613E2" w14:textId="77777777" w:rsidR="00E0767F" w:rsidRPr="00F37F69" w:rsidRDefault="00E0767F" w:rsidP="00703AF9">
                  <w:pPr>
                    <w:spacing w:after="0" w:line="240" w:lineRule="auto"/>
                    <w:jc w:val="right"/>
                    <w:rPr>
                      <w:b/>
                    </w:rPr>
                  </w:pPr>
                  <w:r w:rsidRPr="00F37F69">
                    <w:rPr>
                      <w:b/>
                    </w:rPr>
                    <w:t>$000</w:t>
                  </w:r>
                </w:p>
              </w:tc>
              <w:tc>
                <w:tcPr>
                  <w:tcW w:w="989" w:type="dxa"/>
                  <w:tcBorders>
                    <w:left w:val="single" w:sz="4" w:space="0" w:color="auto"/>
                    <w:bottom w:val="single" w:sz="4" w:space="0" w:color="auto"/>
                    <w:right w:val="single" w:sz="4" w:space="0" w:color="auto"/>
                  </w:tcBorders>
                  <w:tcMar>
                    <w:top w:w="80" w:type="dxa"/>
                    <w:left w:w="80" w:type="dxa"/>
                    <w:bottom w:w="80" w:type="dxa"/>
                    <w:right w:w="80" w:type="dxa"/>
                  </w:tcMar>
                </w:tcPr>
                <w:p w14:paraId="7BA5BB1C" w14:textId="77777777" w:rsidR="00E0767F" w:rsidRPr="00F37F69" w:rsidRDefault="00E0767F" w:rsidP="00703AF9">
                  <w:pPr>
                    <w:spacing w:after="0" w:line="240" w:lineRule="auto"/>
                    <w:jc w:val="right"/>
                    <w:rPr>
                      <w:b/>
                    </w:rPr>
                  </w:pPr>
                  <w:r w:rsidRPr="00F37F69">
                    <w:rPr>
                      <w:b/>
                    </w:rPr>
                    <w:t>$000</w:t>
                  </w:r>
                </w:p>
              </w:tc>
            </w:tr>
            <w:tr w:rsidR="00E0767F" w:rsidRPr="008E7494" w14:paraId="0F5C4242" w14:textId="77777777" w:rsidTr="00703AF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73ABEE" w14:textId="77777777" w:rsidR="00E0767F" w:rsidRPr="008E7494" w:rsidRDefault="00E0767F" w:rsidP="00703AF9">
                  <w:pPr>
                    <w:spacing w:after="0"/>
                  </w:pPr>
                  <w:r w:rsidRPr="008E7494">
                    <w:t>Operating activities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797B44F" w14:textId="77777777" w:rsidR="00E0767F" w:rsidRPr="00094086" w:rsidRDefault="00E0767F" w:rsidP="00703AF9">
                  <w:pPr>
                    <w:spacing w:after="0"/>
                    <w:jc w:val="right"/>
                  </w:pPr>
                  <w:r w:rsidRPr="00094086">
                    <w:t>(144)</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ED1570" w14:textId="77777777" w:rsidR="00E0767F" w:rsidRPr="008E7494" w:rsidRDefault="00E0767F" w:rsidP="00703AF9">
                  <w:pPr>
                    <w:spacing w:after="0"/>
                    <w:jc w:val="right"/>
                  </w:pPr>
                  <w:r>
                    <w:t>270</w:t>
                  </w:r>
                </w:p>
              </w:tc>
            </w:tr>
            <w:tr w:rsidR="00E0767F" w:rsidRPr="008E7494" w14:paraId="358473A4"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16685E9" w14:textId="77777777" w:rsidR="00E0767F" w:rsidRPr="008E7494" w:rsidRDefault="00E0767F" w:rsidP="00703AF9">
                  <w:pPr>
                    <w:spacing w:after="0"/>
                  </w:pPr>
                  <w:r w:rsidRPr="008E7494">
                    <w:t>Investing activities</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2C34BB" w14:textId="77777777" w:rsidR="00E0767F" w:rsidRPr="00094086" w:rsidRDefault="00E0767F" w:rsidP="00703AF9">
                  <w:pPr>
                    <w:spacing w:after="0"/>
                    <w:jc w:val="right"/>
                  </w:pPr>
                  <w:r w:rsidRPr="00094086">
                    <w:t>(22)</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EFB1C9" w14:textId="77777777" w:rsidR="00E0767F" w:rsidRPr="008E7494" w:rsidRDefault="00E0767F" w:rsidP="00703AF9">
                  <w:pPr>
                    <w:spacing w:after="0"/>
                    <w:jc w:val="right"/>
                  </w:pPr>
                  <w:r w:rsidRPr="008E7494">
                    <w:t>(</w:t>
                  </w:r>
                  <w:r>
                    <w:t>44</w:t>
                  </w:r>
                  <w:r w:rsidRPr="008E7494">
                    <w:t>)</w:t>
                  </w:r>
                </w:p>
              </w:tc>
            </w:tr>
            <w:tr w:rsidR="00E0767F" w:rsidRPr="008E7494" w14:paraId="2B67822C"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5552BBA" w14:textId="00287795" w:rsidR="00E0767F" w:rsidRPr="008E7494" w:rsidRDefault="00E0767F" w:rsidP="00703AF9">
                  <w:pPr>
                    <w:spacing w:after="0"/>
                  </w:pPr>
                  <w:r w:rsidRPr="008E7494">
                    <w:t xml:space="preserve">Net </w:t>
                  </w:r>
                  <w:r w:rsidR="00072DC2">
                    <w:t>(decrease)</w:t>
                  </w:r>
                  <w:r w:rsidRPr="008E7494">
                    <w:t>/</w:t>
                  </w:r>
                  <w:r w:rsidR="00072DC2">
                    <w:t>increase</w:t>
                  </w:r>
                  <w:r w:rsidRPr="008E7494">
                    <w:t xml:space="preserve"> in cash held</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7B4D8C" w14:textId="77777777" w:rsidR="00E0767F" w:rsidRPr="00094086" w:rsidRDefault="00E0767F" w:rsidP="00703AF9">
                  <w:pPr>
                    <w:spacing w:after="0"/>
                    <w:jc w:val="right"/>
                  </w:pPr>
                  <w:r w:rsidRPr="00094086">
                    <w:t>(166)</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5AB891" w14:textId="77777777" w:rsidR="00E0767F" w:rsidRPr="008E7494" w:rsidRDefault="00E0767F" w:rsidP="00703AF9">
                  <w:pPr>
                    <w:spacing w:after="0"/>
                    <w:jc w:val="right"/>
                  </w:pPr>
                  <w:r>
                    <w:t>226</w:t>
                  </w:r>
                </w:p>
              </w:tc>
            </w:tr>
            <w:tr w:rsidR="00E0767F" w:rsidRPr="008E7494" w14:paraId="5A80241A"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CF99040" w14:textId="77777777" w:rsidR="00E0767F" w:rsidRPr="008E7494" w:rsidRDefault="00E0767F" w:rsidP="00703AF9">
                  <w:pPr>
                    <w:spacing w:after="0"/>
                  </w:pPr>
                  <w:r w:rsidRPr="008E7494">
                    <w:t>Cash at beginning of financial year</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1FBEEA" w14:textId="77777777" w:rsidR="00E0767F" w:rsidRPr="00094086" w:rsidRDefault="00E0767F" w:rsidP="00703AF9">
                  <w:pPr>
                    <w:spacing w:after="0"/>
                    <w:jc w:val="right"/>
                  </w:pPr>
                  <w:r w:rsidRPr="00094086">
                    <w:t>1,861</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EC04C7" w14:textId="77777777" w:rsidR="00E0767F" w:rsidRPr="008E7494" w:rsidRDefault="00E0767F" w:rsidP="00703AF9">
                  <w:pPr>
                    <w:spacing w:after="0"/>
                    <w:jc w:val="right"/>
                  </w:pPr>
                  <w:r>
                    <w:t>1,635</w:t>
                  </w:r>
                </w:p>
              </w:tc>
            </w:tr>
            <w:tr w:rsidR="00E0767F" w:rsidRPr="008E7494" w14:paraId="3468DAA1" w14:textId="77777777" w:rsidTr="00703AF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0F5E32C" w14:textId="77777777" w:rsidR="00E0767F" w:rsidRPr="008E7494" w:rsidRDefault="00E0767F" w:rsidP="00703AF9">
                  <w:pPr>
                    <w:spacing w:after="0"/>
                  </w:pPr>
                  <w:r w:rsidRPr="008E7494">
                    <w:t>Cash at end of financial year</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18CDC5" w14:textId="77777777" w:rsidR="00E0767F" w:rsidRPr="00094086" w:rsidRDefault="00E0767F" w:rsidP="00703AF9">
                  <w:pPr>
                    <w:spacing w:after="0"/>
                    <w:jc w:val="right"/>
                  </w:pPr>
                  <w:r w:rsidRPr="00094086">
                    <w:t>1,695</w:t>
                  </w:r>
                </w:p>
              </w:tc>
              <w:tc>
                <w:tcPr>
                  <w:tcW w:w="98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69B0702" w14:textId="77777777" w:rsidR="00E0767F" w:rsidRPr="008E7494" w:rsidRDefault="00E0767F" w:rsidP="00703AF9">
                  <w:pPr>
                    <w:spacing w:after="0"/>
                    <w:jc w:val="right"/>
                  </w:pPr>
                  <w:r>
                    <w:t>1,861</w:t>
                  </w:r>
                </w:p>
              </w:tc>
            </w:tr>
          </w:tbl>
          <w:p w14:paraId="3598128E" w14:textId="77777777" w:rsidR="00E0767F" w:rsidRPr="008E7494" w:rsidRDefault="00E0767F" w:rsidP="00703AF9">
            <w:pPr>
              <w:widowControl w:val="0"/>
              <w:autoSpaceDE w:val="0"/>
              <w:autoSpaceDN w:val="0"/>
              <w:adjustRightInd w:val="0"/>
              <w:spacing w:after="167" w:line="260" w:lineRule="atLeast"/>
              <w:rPr>
                <w:rFonts w:cs="Arial"/>
              </w:rPr>
            </w:pPr>
          </w:p>
        </w:tc>
      </w:tr>
    </w:tbl>
    <w:p w14:paraId="23A84A53" w14:textId="77777777" w:rsidR="00C411FD" w:rsidRPr="003E09C0" w:rsidRDefault="00C411FD" w:rsidP="00DE1D43">
      <w:pPr>
        <w:rPr>
          <w:lang w:val="en-US" w:eastAsia="en-AU"/>
        </w:rPr>
      </w:pPr>
      <w:bookmarkStart w:id="0" w:name="_GoBack"/>
      <w:bookmarkEnd w:id="0"/>
    </w:p>
    <w:sectPr w:rsidR="00C411FD" w:rsidRPr="003E09C0" w:rsidSect="00DE1D43">
      <w:headerReference w:type="even" r:id="rId8"/>
      <w:headerReference w:type="default" r:id="rId9"/>
      <w:headerReference w:type="first" r:id="rId10"/>
      <w:footnotePr>
        <w:numRestart w:val="eachSect"/>
      </w:footnotePr>
      <w:pgSz w:w="11906" w:h="16838"/>
      <w:pgMar w:top="2948" w:right="567" w:bottom="567" w:left="56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9CCE7" w14:textId="77777777" w:rsidR="004C0B80" w:rsidRDefault="004C0B80" w:rsidP="00176460">
      <w:pPr>
        <w:spacing w:after="0" w:line="240" w:lineRule="auto"/>
      </w:pPr>
      <w:r>
        <w:separator/>
      </w:r>
    </w:p>
  </w:endnote>
  <w:endnote w:type="continuationSeparator" w:id="0">
    <w:p w14:paraId="5902E99D" w14:textId="77777777" w:rsidR="004C0B80" w:rsidRDefault="004C0B80"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E08E9" w14:textId="77777777" w:rsidR="004C0B80" w:rsidRDefault="004C0B80" w:rsidP="00176460">
      <w:pPr>
        <w:spacing w:after="0" w:line="240" w:lineRule="auto"/>
      </w:pPr>
      <w:r>
        <w:separator/>
      </w:r>
    </w:p>
  </w:footnote>
  <w:footnote w:type="continuationSeparator" w:id="0">
    <w:p w14:paraId="2F6A77D2" w14:textId="77777777" w:rsidR="004C0B80" w:rsidRDefault="004C0B80"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5F0E5" w14:textId="5C642E56" w:rsidR="004C0B80" w:rsidRDefault="004C0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AC47C" w14:textId="77777777" w:rsidR="00DE1D43" w:rsidRDefault="00DE1D43" w:rsidP="00DE1D43">
    <w:pPr>
      <w:pStyle w:val="Header"/>
    </w:pPr>
  </w:p>
  <w:p w14:paraId="2A40AC41" w14:textId="77777777" w:rsidR="00DE1D43" w:rsidRDefault="00DE1D43" w:rsidP="00DE1D43">
    <w:pPr>
      <w:pStyle w:val="Header"/>
    </w:pPr>
  </w:p>
  <w:p w14:paraId="0E1CFFF9" w14:textId="77777777" w:rsidR="00DE1D43" w:rsidRDefault="00DE1D43" w:rsidP="00DE1D43">
    <w:pPr>
      <w:pStyle w:val="Header"/>
    </w:pPr>
  </w:p>
  <w:p w14:paraId="0994BC71" w14:textId="77777777" w:rsidR="00DE1D43" w:rsidRDefault="00DE1D43" w:rsidP="00DE1D43">
    <w:pPr>
      <w:pStyle w:val="Header"/>
    </w:pPr>
  </w:p>
  <w:p w14:paraId="2A0DEB62" w14:textId="77777777" w:rsidR="00DE1D43" w:rsidRDefault="00DE1D43" w:rsidP="00DE1D43">
    <w:pPr>
      <w:pStyle w:val="Header"/>
    </w:pPr>
  </w:p>
  <w:p w14:paraId="730BC825" w14:textId="77777777" w:rsidR="00DE1D43" w:rsidRDefault="00DE1D43" w:rsidP="00DE1D43">
    <w:pPr>
      <w:pStyle w:val="Header"/>
    </w:pPr>
    <w:r>
      <w:t>OUR PERFORMANCE –</w:t>
    </w:r>
  </w:p>
  <w:p w14:paraId="252C6FC9" w14:textId="6D8C33CB" w:rsidR="004C0B80" w:rsidRPr="00DE1D43" w:rsidRDefault="00DE1D43" w:rsidP="00DE1D43">
    <w:pPr>
      <w:pStyle w:val="Header"/>
    </w:pPr>
    <w:r>
      <w:t>REVIEW OF OPERATIONS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8806" w14:textId="738F52B0" w:rsidR="004C0B80" w:rsidRDefault="004C0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9"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1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8"/>
  </w:num>
  <w:num w:numId="5">
    <w:abstractNumId w:val="10"/>
  </w:num>
  <w:num w:numId="6">
    <w:abstractNumId w:val="1"/>
  </w:num>
  <w:num w:numId="7">
    <w:abstractNumId w:val="0"/>
  </w:num>
  <w:num w:numId="8">
    <w:abstractNumId w:val="14"/>
  </w:num>
  <w:num w:numId="9">
    <w:abstractNumId w:val="11"/>
  </w:num>
  <w:num w:numId="10">
    <w:abstractNumId w:val="15"/>
  </w:num>
  <w:num w:numId="11">
    <w:abstractNumId w:val="4"/>
  </w:num>
  <w:num w:numId="12">
    <w:abstractNumId w:val="5"/>
  </w:num>
  <w:num w:numId="13">
    <w:abstractNumId w:val="9"/>
  </w:num>
  <w:num w:numId="14">
    <w:abstractNumId w:val="12"/>
  </w:num>
  <w:num w:numId="15">
    <w:abstractNumId w:val="6"/>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4F4A"/>
    <w:rsid w:val="00017901"/>
    <w:rsid w:val="00021998"/>
    <w:rsid w:val="00022F7A"/>
    <w:rsid w:val="00023834"/>
    <w:rsid w:val="00026F4C"/>
    <w:rsid w:val="00027E78"/>
    <w:rsid w:val="00031A5E"/>
    <w:rsid w:val="000353D9"/>
    <w:rsid w:val="000430A1"/>
    <w:rsid w:val="000460FB"/>
    <w:rsid w:val="00047560"/>
    <w:rsid w:val="000515A2"/>
    <w:rsid w:val="00063B79"/>
    <w:rsid w:val="00065ADC"/>
    <w:rsid w:val="0006609B"/>
    <w:rsid w:val="00066DE4"/>
    <w:rsid w:val="000718B6"/>
    <w:rsid w:val="00072DC2"/>
    <w:rsid w:val="00073564"/>
    <w:rsid w:val="000762D4"/>
    <w:rsid w:val="0007689C"/>
    <w:rsid w:val="00077B74"/>
    <w:rsid w:val="00080033"/>
    <w:rsid w:val="0008620F"/>
    <w:rsid w:val="00093A38"/>
    <w:rsid w:val="000A24AF"/>
    <w:rsid w:val="000A486F"/>
    <w:rsid w:val="000B15B1"/>
    <w:rsid w:val="000B74C2"/>
    <w:rsid w:val="000C250A"/>
    <w:rsid w:val="000C3367"/>
    <w:rsid w:val="000C5308"/>
    <w:rsid w:val="000D2108"/>
    <w:rsid w:val="000D712F"/>
    <w:rsid w:val="000E37EE"/>
    <w:rsid w:val="000E426A"/>
    <w:rsid w:val="000E71ED"/>
    <w:rsid w:val="000E7D7C"/>
    <w:rsid w:val="000F29F4"/>
    <w:rsid w:val="00100A80"/>
    <w:rsid w:val="001021E4"/>
    <w:rsid w:val="00110473"/>
    <w:rsid w:val="001161F7"/>
    <w:rsid w:val="00120AFC"/>
    <w:rsid w:val="0013048C"/>
    <w:rsid w:val="001355A5"/>
    <w:rsid w:val="00135D86"/>
    <w:rsid w:val="00140BAC"/>
    <w:rsid w:val="00140D6A"/>
    <w:rsid w:val="00142ED9"/>
    <w:rsid w:val="00150DA5"/>
    <w:rsid w:val="001569A9"/>
    <w:rsid w:val="00165546"/>
    <w:rsid w:val="00166D33"/>
    <w:rsid w:val="001707D9"/>
    <w:rsid w:val="00170939"/>
    <w:rsid w:val="00171741"/>
    <w:rsid w:val="001755ED"/>
    <w:rsid w:val="00176460"/>
    <w:rsid w:val="001803B7"/>
    <w:rsid w:val="001822CE"/>
    <w:rsid w:val="001911DA"/>
    <w:rsid w:val="001928E3"/>
    <w:rsid w:val="00193066"/>
    <w:rsid w:val="001937FA"/>
    <w:rsid w:val="00197911"/>
    <w:rsid w:val="001A0120"/>
    <w:rsid w:val="001A36E3"/>
    <w:rsid w:val="001A444A"/>
    <w:rsid w:val="001A5D2B"/>
    <w:rsid w:val="001A5DFE"/>
    <w:rsid w:val="001B07A5"/>
    <w:rsid w:val="001B11BE"/>
    <w:rsid w:val="001B3060"/>
    <w:rsid w:val="001B6CCE"/>
    <w:rsid w:val="001B7200"/>
    <w:rsid w:val="001C64D7"/>
    <w:rsid w:val="001D03FA"/>
    <w:rsid w:val="001D54AF"/>
    <w:rsid w:val="001E13C6"/>
    <w:rsid w:val="001E3006"/>
    <w:rsid w:val="001F0A0B"/>
    <w:rsid w:val="001F1B84"/>
    <w:rsid w:val="001F4C3D"/>
    <w:rsid w:val="001F6EDE"/>
    <w:rsid w:val="00200F97"/>
    <w:rsid w:val="00201D64"/>
    <w:rsid w:val="00201F48"/>
    <w:rsid w:val="0020270B"/>
    <w:rsid w:val="00205807"/>
    <w:rsid w:val="002064F8"/>
    <w:rsid w:val="0020675D"/>
    <w:rsid w:val="00207BBE"/>
    <w:rsid w:val="00210E59"/>
    <w:rsid w:val="0021126A"/>
    <w:rsid w:val="00214FE7"/>
    <w:rsid w:val="00215D36"/>
    <w:rsid w:val="002168A8"/>
    <w:rsid w:val="00232E1C"/>
    <w:rsid w:val="00235A8B"/>
    <w:rsid w:val="002413ED"/>
    <w:rsid w:val="002435B7"/>
    <w:rsid w:val="00244953"/>
    <w:rsid w:val="00247FB3"/>
    <w:rsid w:val="00255D6E"/>
    <w:rsid w:val="00263043"/>
    <w:rsid w:val="00263954"/>
    <w:rsid w:val="00263ABF"/>
    <w:rsid w:val="002655E6"/>
    <w:rsid w:val="00270528"/>
    <w:rsid w:val="002853A3"/>
    <w:rsid w:val="00286EE1"/>
    <w:rsid w:val="00293B67"/>
    <w:rsid w:val="002959D5"/>
    <w:rsid w:val="00296EA0"/>
    <w:rsid w:val="002A1591"/>
    <w:rsid w:val="002A20B4"/>
    <w:rsid w:val="002A3197"/>
    <w:rsid w:val="002A4CBB"/>
    <w:rsid w:val="002A4E49"/>
    <w:rsid w:val="002A5F28"/>
    <w:rsid w:val="002A649F"/>
    <w:rsid w:val="002A741E"/>
    <w:rsid w:val="002B04ED"/>
    <w:rsid w:val="002B28AA"/>
    <w:rsid w:val="002B2B87"/>
    <w:rsid w:val="002C013C"/>
    <w:rsid w:val="002C1AFC"/>
    <w:rsid w:val="002C2BFF"/>
    <w:rsid w:val="002D0C16"/>
    <w:rsid w:val="002D6CD6"/>
    <w:rsid w:val="002E0070"/>
    <w:rsid w:val="002E0E25"/>
    <w:rsid w:val="002E7C53"/>
    <w:rsid w:val="002F2786"/>
    <w:rsid w:val="002F4061"/>
    <w:rsid w:val="002F4349"/>
    <w:rsid w:val="002F6410"/>
    <w:rsid w:val="003002F4"/>
    <w:rsid w:val="00300E8C"/>
    <w:rsid w:val="00301C1B"/>
    <w:rsid w:val="00302B0D"/>
    <w:rsid w:val="003052B1"/>
    <w:rsid w:val="00307095"/>
    <w:rsid w:val="0031180F"/>
    <w:rsid w:val="00316B6D"/>
    <w:rsid w:val="003211D2"/>
    <w:rsid w:val="00321322"/>
    <w:rsid w:val="00324BC2"/>
    <w:rsid w:val="003258B7"/>
    <w:rsid w:val="003259C9"/>
    <w:rsid w:val="003301B7"/>
    <w:rsid w:val="00330997"/>
    <w:rsid w:val="003416B5"/>
    <w:rsid w:val="00342867"/>
    <w:rsid w:val="00342BFA"/>
    <w:rsid w:val="00347F8B"/>
    <w:rsid w:val="00351852"/>
    <w:rsid w:val="00351947"/>
    <w:rsid w:val="00352BEA"/>
    <w:rsid w:val="00354BF8"/>
    <w:rsid w:val="00355550"/>
    <w:rsid w:val="00364453"/>
    <w:rsid w:val="003651A0"/>
    <w:rsid w:val="00365AF5"/>
    <w:rsid w:val="003673F0"/>
    <w:rsid w:val="00372018"/>
    <w:rsid w:val="003731C7"/>
    <w:rsid w:val="00375B89"/>
    <w:rsid w:val="00377FB0"/>
    <w:rsid w:val="00380329"/>
    <w:rsid w:val="0038254C"/>
    <w:rsid w:val="00385936"/>
    <w:rsid w:val="00386B04"/>
    <w:rsid w:val="00387A3A"/>
    <w:rsid w:val="003916F7"/>
    <w:rsid w:val="00395FBC"/>
    <w:rsid w:val="00397AC5"/>
    <w:rsid w:val="003A0009"/>
    <w:rsid w:val="003A099B"/>
    <w:rsid w:val="003A0C5C"/>
    <w:rsid w:val="003A7D99"/>
    <w:rsid w:val="003C0E96"/>
    <w:rsid w:val="003D0428"/>
    <w:rsid w:val="003D1426"/>
    <w:rsid w:val="003D23F7"/>
    <w:rsid w:val="003E09C0"/>
    <w:rsid w:val="003E1F2B"/>
    <w:rsid w:val="003E22D4"/>
    <w:rsid w:val="003E4D6E"/>
    <w:rsid w:val="003E51EB"/>
    <w:rsid w:val="003F02DA"/>
    <w:rsid w:val="003F1B3A"/>
    <w:rsid w:val="003F1DF7"/>
    <w:rsid w:val="003F34C7"/>
    <w:rsid w:val="003F42C4"/>
    <w:rsid w:val="003F59DF"/>
    <w:rsid w:val="004006FA"/>
    <w:rsid w:val="00400CDE"/>
    <w:rsid w:val="004036DD"/>
    <w:rsid w:val="00406A60"/>
    <w:rsid w:val="004077D5"/>
    <w:rsid w:val="00407A0D"/>
    <w:rsid w:val="00413E34"/>
    <w:rsid w:val="0041415B"/>
    <w:rsid w:val="00416C1F"/>
    <w:rsid w:val="00423555"/>
    <w:rsid w:val="00424DA6"/>
    <w:rsid w:val="004304D6"/>
    <w:rsid w:val="00435753"/>
    <w:rsid w:val="004407C0"/>
    <w:rsid w:val="00440E87"/>
    <w:rsid w:val="004421A9"/>
    <w:rsid w:val="00442897"/>
    <w:rsid w:val="00443439"/>
    <w:rsid w:val="004443FB"/>
    <w:rsid w:val="00446902"/>
    <w:rsid w:val="004503DE"/>
    <w:rsid w:val="00455517"/>
    <w:rsid w:val="00461E53"/>
    <w:rsid w:val="00462AD5"/>
    <w:rsid w:val="004650EA"/>
    <w:rsid w:val="00465B53"/>
    <w:rsid w:val="00465C44"/>
    <w:rsid w:val="00473114"/>
    <w:rsid w:val="00473BDB"/>
    <w:rsid w:val="00474457"/>
    <w:rsid w:val="004758C4"/>
    <w:rsid w:val="004807C5"/>
    <w:rsid w:val="00494DB4"/>
    <w:rsid w:val="0049642B"/>
    <w:rsid w:val="004A5ACC"/>
    <w:rsid w:val="004A7E7A"/>
    <w:rsid w:val="004B0ABC"/>
    <w:rsid w:val="004B29FB"/>
    <w:rsid w:val="004B4753"/>
    <w:rsid w:val="004B5B3B"/>
    <w:rsid w:val="004C0B80"/>
    <w:rsid w:val="004C2F14"/>
    <w:rsid w:val="004D32A3"/>
    <w:rsid w:val="004E16C2"/>
    <w:rsid w:val="004E7182"/>
    <w:rsid w:val="004F7FEC"/>
    <w:rsid w:val="00500545"/>
    <w:rsid w:val="005009DC"/>
    <w:rsid w:val="0050413E"/>
    <w:rsid w:val="00504D03"/>
    <w:rsid w:val="005133C8"/>
    <w:rsid w:val="0051400F"/>
    <w:rsid w:val="00514739"/>
    <w:rsid w:val="0051512D"/>
    <w:rsid w:val="00515A05"/>
    <w:rsid w:val="00516FE3"/>
    <w:rsid w:val="005215DA"/>
    <w:rsid w:val="00523939"/>
    <w:rsid w:val="0053085C"/>
    <w:rsid w:val="00532D21"/>
    <w:rsid w:val="00536C63"/>
    <w:rsid w:val="00550CE8"/>
    <w:rsid w:val="005527DE"/>
    <w:rsid w:val="00553655"/>
    <w:rsid w:val="00555385"/>
    <w:rsid w:val="00560CDC"/>
    <w:rsid w:val="00563CB0"/>
    <w:rsid w:val="00577EF7"/>
    <w:rsid w:val="00582209"/>
    <w:rsid w:val="0058401A"/>
    <w:rsid w:val="005844E2"/>
    <w:rsid w:val="00585E05"/>
    <w:rsid w:val="0059030C"/>
    <w:rsid w:val="005A0BCC"/>
    <w:rsid w:val="005A2D61"/>
    <w:rsid w:val="005A67E8"/>
    <w:rsid w:val="005B2FE5"/>
    <w:rsid w:val="005B5DF6"/>
    <w:rsid w:val="005C0FB3"/>
    <w:rsid w:val="005D2982"/>
    <w:rsid w:val="005D32E4"/>
    <w:rsid w:val="005E0A7E"/>
    <w:rsid w:val="005E33C4"/>
    <w:rsid w:val="005E3406"/>
    <w:rsid w:val="005E374B"/>
    <w:rsid w:val="005E4497"/>
    <w:rsid w:val="005E7E0B"/>
    <w:rsid w:val="005F3C9F"/>
    <w:rsid w:val="005F439B"/>
    <w:rsid w:val="005F6B0B"/>
    <w:rsid w:val="005F6B9D"/>
    <w:rsid w:val="0060361C"/>
    <w:rsid w:val="00610BEF"/>
    <w:rsid w:val="00613F4E"/>
    <w:rsid w:val="00615CFD"/>
    <w:rsid w:val="00621724"/>
    <w:rsid w:val="006218B0"/>
    <w:rsid w:val="006225E9"/>
    <w:rsid w:val="00625333"/>
    <w:rsid w:val="0062722F"/>
    <w:rsid w:val="006279D0"/>
    <w:rsid w:val="00627ADE"/>
    <w:rsid w:val="00631372"/>
    <w:rsid w:val="00631612"/>
    <w:rsid w:val="0063219A"/>
    <w:rsid w:val="0063246E"/>
    <w:rsid w:val="00632942"/>
    <w:rsid w:val="00633677"/>
    <w:rsid w:val="0063507A"/>
    <w:rsid w:val="00636822"/>
    <w:rsid w:val="00636B04"/>
    <w:rsid w:val="00636BEC"/>
    <w:rsid w:val="00636F42"/>
    <w:rsid w:val="006377D5"/>
    <w:rsid w:val="00641609"/>
    <w:rsid w:val="0064339D"/>
    <w:rsid w:val="00650F49"/>
    <w:rsid w:val="00651CF7"/>
    <w:rsid w:val="006522EE"/>
    <w:rsid w:val="0066001C"/>
    <w:rsid w:val="0066478C"/>
    <w:rsid w:val="00665E52"/>
    <w:rsid w:val="00666A3C"/>
    <w:rsid w:val="00667F7D"/>
    <w:rsid w:val="0067256C"/>
    <w:rsid w:val="0067432C"/>
    <w:rsid w:val="00674A92"/>
    <w:rsid w:val="0067559C"/>
    <w:rsid w:val="00675FA3"/>
    <w:rsid w:val="00683DAA"/>
    <w:rsid w:val="0068546A"/>
    <w:rsid w:val="006873D5"/>
    <w:rsid w:val="006925E3"/>
    <w:rsid w:val="006A5891"/>
    <w:rsid w:val="006A6677"/>
    <w:rsid w:val="006A71A4"/>
    <w:rsid w:val="006B0065"/>
    <w:rsid w:val="006B1384"/>
    <w:rsid w:val="006B25C1"/>
    <w:rsid w:val="006C022B"/>
    <w:rsid w:val="006C1F8D"/>
    <w:rsid w:val="006C306D"/>
    <w:rsid w:val="006C5B3E"/>
    <w:rsid w:val="006C6FC4"/>
    <w:rsid w:val="006D0B23"/>
    <w:rsid w:val="006D2AFB"/>
    <w:rsid w:val="006D57B4"/>
    <w:rsid w:val="006D7879"/>
    <w:rsid w:val="006E3328"/>
    <w:rsid w:val="006E46A1"/>
    <w:rsid w:val="006F0825"/>
    <w:rsid w:val="007018E7"/>
    <w:rsid w:val="00703064"/>
    <w:rsid w:val="00703AF9"/>
    <w:rsid w:val="00704B00"/>
    <w:rsid w:val="00706445"/>
    <w:rsid w:val="00711EF1"/>
    <w:rsid w:val="00713BB8"/>
    <w:rsid w:val="00717015"/>
    <w:rsid w:val="00724085"/>
    <w:rsid w:val="007265A8"/>
    <w:rsid w:val="00727731"/>
    <w:rsid w:val="007301C9"/>
    <w:rsid w:val="00735500"/>
    <w:rsid w:val="007358B3"/>
    <w:rsid w:val="007530B3"/>
    <w:rsid w:val="00753464"/>
    <w:rsid w:val="00754EB5"/>
    <w:rsid w:val="00757C55"/>
    <w:rsid w:val="00757F68"/>
    <w:rsid w:val="00761469"/>
    <w:rsid w:val="00763D72"/>
    <w:rsid w:val="0076563D"/>
    <w:rsid w:val="00770E5E"/>
    <w:rsid w:val="00774060"/>
    <w:rsid w:val="0077515C"/>
    <w:rsid w:val="007826C6"/>
    <w:rsid w:val="007839A8"/>
    <w:rsid w:val="00783A1C"/>
    <w:rsid w:val="00784129"/>
    <w:rsid w:val="007870B5"/>
    <w:rsid w:val="007872A7"/>
    <w:rsid w:val="00794BB9"/>
    <w:rsid w:val="007968C2"/>
    <w:rsid w:val="0079696B"/>
    <w:rsid w:val="007A08E7"/>
    <w:rsid w:val="007A2031"/>
    <w:rsid w:val="007A241F"/>
    <w:rsid w:val="007A2E57"/>
    <w:rsid w:val="007B1CA7"/>
    <w:rsid w:val="007B37CE"/>
    <w:rsid w:val="007B4873"/>
    <w:rsid w:val="007C0486"/>
    <w:rsid w:val="007C08F1"/>
    <w:rsid w:val="007C6AED"/>
    <w:rsid w:val="007D0EDD"/>
    <w:rsid w:val="007F1376"/>
    <w:rsid w:val="007F3479"/>
    <w:rsid w:val="007F6A47"/>
    <w:rsid w:val="00807008"/>
    <w:rsid w:val="0081133B"/>
    <w:rsid w:val="00811CF2"/>
    <w:rsid w:val="008122FA"/>
    <w:rsid w:val="00814A1D"/>
    <w:rsid w:val="00815023"/>
    <w:rsid w:val="00820C02"/>
    <w:rsid w:val="00826466"/>
    <w:rsid w:val="00827AEC"/>
    <w:rsid w:val="00827B67"/>
    <w:rsid w:val="0083017B"/>
    <w:rsid w:val="00832B88"/>
    <w:rsid w:val="00832C6D"/>
    <w:rsid w:val="00833549"/>
    <w:rsid w:val="00840680"/>
    <w:rsid w:val="00843155"/>
    <w:rsid w:val="008455A8"/>
    <w:rsid w:val="008530E4"/>
    <w:rsid w:val="00853D61"/>
    <w:rsid w:val="00855BD2"/>
    <w:rsid w:val="00857AFA"/>
    <w:rsid w:val="008609B2"/>
    <w:rsid w:val="008609CB"/>
    <w:rsid w:val="0086460B"/>
    <w:rsid w:val="00865F07"/>
    <w:rsid w:val="00867D65"/>
    <w:rsid w:val="0087217F"/>
    <w:rsid w:val="00876CD4"/>
    <w:rsid w:val="008808E2"/>
    <w:rsid w:val="00881DBE"/>
    <w:rsid w:val="008878B2"/>
    <w:rsid w:val="00891105"/>
    <w:rsid w:val="00892086"/>
    <w:rsid w:val="00893766"/>
    <w:rsid w:val="0089531C"/>
    <w:rsid w:val="00896062"/>
    <w:rsid w:val="008A015F"/>
    <w:rsid w:val="008A32D0"/>
    <w:rsid w:val="008A395C"/>
    <w:rsid w:val="008A6733"/>
    <w:rsid w:val="008B04C0"/>
    <w:rsid w:val="008B05C3"/>
    <w:rsid w:val="008B26F5"/>
    <w:rsid w:val="008B63FB"/>
    <w:rsid w:val="008C27F7"/>
    <w:rsid w:val="008C4508"/>
    <w:rsid w:val="008C4658"/>
    <w:rsid w:val="008C4A7C"/>
    <w:rsid w:val="008D227C"/>
    <w:rsid w:val="008D27CD"/>
    <w:rsid w:val="008E112E"/>
    <w:rsid w:val="008E29C6"/>
    <w:rsid w:val="008E5989"/>
    <w:rsid w:val="008E65CA"/>
    <w:rsid w:val="008E6FB8"/>
    <w:rsid w:val="008F1E14"/>
    <w:rsid w:val="008F1FA3"/>
    <w:rsid w:val="008F2845"/>
    <w:rsid w:val="008F28FC"/>
    <w:rsid w:val="008F3758"/>
    <w:rsid w:val="008F44C6"/>
    <w:rsid w:val="008F4A19"/>
    <w:rsid w:val="008F6148"/>
    <w:rsid w:val="008F6611"/>
    <w:rsid w:val="008F7C6D"/>
    <w:rsid w:val="0090293F"/>
    <w:rsid w:val="00902983"/>
    <w:rsid w:val="0090338B"/>
    <w:rsid w:val="00906F35"/>
    <w:rsid w:val="009126C1"/>
    <w:rsid w:val="00913BCE"/>
    <w:rsid w:val="00914093"/>
    <w:rsid w:val="00914EF1"/>
    <w:rsid w:val="0091558A"/>
    <w:rsid w:val="00915F0A"/>
    <w:rsid w:val="00922BBB"/>
    <w:rsid w:val="0092618C"/>
    <w:rsid w:val="0093554F"/>
    <w:rsid w:val="00935687"/>
    <w:rsid w:val="009372C9"/>
    <w:rsid w:val="009447E1"/>
    <w:rsid w:val="00944E68"/>
    <w:rsid w:val="009450E9"/>
    <w:rsid w:val="009523F5"/>
    <w:rsid w:val="00954EBF"/>
    <w:rsid w:val="0095516D"/>
    <w:rsid w:val="00955E47"/>
    <w:rsid w:val="00957111"/>
    <w:rsid w:val="009667A6"/>
    <w:rsid w:val="00970A2C"/>
    <w:rsid w:val="00971F3D"/>
    <w:rsid w:val="00972A7B"/>
    <w:rsid w:val="00982E31"/>
    <w:rsid w:val="009844C0"/>
    <w:rsid w:val="00986593"/>
    <w:rsid w:val="009961E6"/>
    <w:rsid w:val="00996F93"/>
    <w:rsid w:val="009978AB"/>
    <w:rsid w:val="009A13C4"/>
    <w:rsid w:val="009A2A87"/>
    <w:rsid w:val="009A3C02"/>
    <w:rsid w:val="009A5140"/>
    <w:rsid w:val="009A5667"/>
    <w:rsid w:val="009A699F"/>
    <w:rsid w:val="009B01DA"/>
    <w:rsid w:val="009B129E"/>
    <w:rsid w:val="009B3406"/>
    <w:rsid w:val="009B654E"/>
    <w:rsid w:val="009C0C2F"/>
    <w:rsid w:val="009C3592"/>
    <w:rsid w:val="009D27BC"/>
    <w:rsid w:val="009D4454"/>
    <w:rsid w:val="009E6AEF"/>
    <w:rsid w:val="009F12C0"/>
    <w:rsid w:val="009F5659"/>
    <w:rsid w:val="009F6974"/>
    <w:rsid w:val="009F6C56"/>
    <w:rsid w:val="00A01035"/>
    <w:rsid w:val="00A01A41"/>
    <w:rsid w:val="00A03C31"/>
    <w:rsid w:val="00A0421F"/>
    <w:rsid w:val="00A058D9"/>
    <w:rsid w:val="00A064D1"/>
    <w:rsid w:val="00A07A84"/>
    <w:rsid w:val="00A10510"/>
    <w:rsid w:val="00A120B1"/>
    <w:rsid w:val="00A125AF"/>
    <w:rsid w:val="00A133D1"/>
    <w:rsid w:val="00A13712"/>
    <w:rsid w:val="00A15C5A"/>
    <w:rsid w:val="00A31E20"/>
    <w:rsid w:val="00A33BB2"/>
    <w:rsid w:val="00A33F25"/>
    <w:rsid w:val="00A343DD"/>
    <w:rsid w:val="00A361AE"/>
    <w:rsid w:val="00A41A67"/>
    <w:rsid w:val="00A44203"/>
    <w:rsid w:val="00A60992"/>
    <w:rsid w:val="00A64AAB"/>
    <w:rsid w:val="00A65158"/>
    <w:rsid w:val="00A6543E"/>
    <w:rsid w:val="00A712F2"/>
    <w:rsid w:val="00A71C23"/>
    <w:rsid w:val="00A72285"/>
    <w:rsid w:val="00A80D83"/>
    <w:rsid w:val="00A823EF"/>
    <w:rsid w:val="00A83C1C"/>
    <w:rsid w:val="00A85047"/>
    <w:rsid w:val="00A87B7C"/>
    <w:rsid w:val="00A907CB"/>
    <w:rsid w:val="00A90858"/>
    <w:rsid w:val="00A9507D"/>
    <w:rsid w:val="00A955DC"/>
    <w:rsid w:val="00AA0849"/>
    <w:rsid w:val="00AA2451"/>
    <w:rsid w:val="00AA380A"/>
    <w:rsid w:val="00AA3BD1"/>
    <w:rsid w:val="00AA54E0"/>
    <w:rsid w:val="00AA5E4F"/>
    <w:rsid w:val="00AB03E8"/>
    <w:rsid w:val="00AB1EEC"/>
    <w:rsid w:val="00AB2C87"/>
    <w:rsid w:val="00AB361E"/>
    <w:rsid w:val="00AB3BB8"/>
    <w:rsid w:val="00AB6B71"/>
    <w:rsid w:val="00AC305D"/>
    <w:rsid w:val="00AD1D1E"/>
    <w:rsid w:val="00AD7353"/>
    <w:rsid w:val="00AE131D"/>
    <w:rsid w:val="00AE1B90"/>
    <w:rsid w:val="00AE2343"/>
    <w:rsid w:val="00AF1774"/>
    <w:rsid w:val="00AF330A"/>
    <w:rsid w:val="00AF3745"/>
    <w:rsid w:val="00B04466"/>
    <w:rsid w:val="00B04981"/>
    <w:rsid w:val="00B13E24"/>
    <w:rsid w:val="00B14E5E"/>
    <w:rsid w:val="00B15BC0"/>
    <w:rsid w:val="00B16F6B"/>
    <w:rsid w:val="00B17D51"/>
    <w:rsid w:val="00B2274E"/>
    <w:rsid w:val="00B237F0"/>
    <w:rsid w:val="00B25718"/>
    <w:rsid w:val="00B305FB"/>
    <w:rsid w:val="00B331D4"/>
    <w:rsid w:val="00B35584"/>
    <w:rsid w:val="00B53AC2"/>
    <w:rsid w:val="00B557DE"/>
    <w:rsid w:val="00B648F0"/>
    <w:rsid w:val="00B6612D"/>
    <w:rsid w:val="00B66791"/>
    <w:rsid w:val="00B66A21"/>
    <w:rsid w:val="00B73381"/>
    <w:rsid w:val="00B7510C"/>
    <w:rsid w:val="00B75D19"/>
    <w:rsid w:val="00B80FDE"/>
    <w:rsid w:val="00B811D6"/>
    <w:rsid w:val="00B816D5"/>
    <w:rsid w:val="00B84A5B"/>
    <w:rsid w:val="00B915E2"/>
    <w:rsid w:val="00B951C8"/>
    <w:rsid w:val="00B97CB7"/>
    <w:rsid w:val="00BA09B0"/>
    <w:rsid w:val="00BA173A"/>
    <w:rsid w:val="00BA1BBC"/>
    <w:rsid w:val="00BA3738"/>
    <w:rsid w:val="00BA71E8"/>
    <w:rsid w:val="00BB09C3"/>
    <w:rsid w:val="00BB6039"/>
    <w:rsid w:val="00BB6FA7"/>
    <w:rsid w:val="00BC2D88"/>
    <w:rsid w:val="00BC3193"/>
    <w:rsid w:val="00BC3D8B"/>
    <w:rsid w:val="00BC57FF"/>
    <w:rsid w:val="00BC59A9"/>
    <w:rsid w:val="00BC76E1"/>
    <w:rsid w:val="00BC793B"/>
    <w:rsid w:val="00BC7DEF"/>
    <w:rsid w:val="00BD6EEF"/>
    <w:rsid w:val="00BD7A73"/>
    <w:rsid w:val="00BE3A0E"/>
    <w:rsid w:val="00BE431B"/>
    <w:rsid w:val="00BE559B"/>
    <w:rsid w:val="00BF2098"/>
    <w:rsid w:val="00BF706B"/>
    <w:rsid w:val="00BF7659"/>
    <w:rsid w:val="00C0194E"/>
    <w:rsid w:val="00C0314A"/>
    <w:rsid w:val="00C10AFD"/>
    <w:rsid w:val="00C11862"/>
    <w:rsid w:val="00C20C14"/>
    <w:rsid w:val="00C24FB8"/>
    <w:rsid w:val="00C27251"/>
    <w:rsid w:val="00C30B75"/>
    <w:rsid w:val="00C31D49"/>
    <w:rsid w:val="00C365D8"/>
    <w:rsid w:val="00C411FD"/>
    <w:rsid w:val="00C433E1"/>
    <w:rsid w:val="00C452B9"/>
    <w:rsid w:val="00C46839"/>
    <w:rsid w:val="00C519CE"/>
    <w:rsid w:val="00C62066"/>
    <w:rsid w:val="00C635DE"/>
    <w:rsid w:val="00C636A6"/>
    <w:rsid w:val="00C63832"/>
    <w:rsid w:val="00C64812"/>
    <w:rsid w:val="00C67902"/>
    <w:rsid w:val="00C71F34"/>
    <w:rsid w:val="00C74C84"/>
    <w:rsid w:val="00C80190"/>
    <w:rsid w:val="00C8085E"/>
    <w:rsid w:val="00C82EEE"/>
    <w:rsid w:val="00C91329"/>
    <w:rsid w:val="00C931E9"/>
    <w:rsid w:val="00C96371"/>
    <w:rsid w:val="00CA1090"/>
    <w:rsid w:val="00CA113C"/>
    <w:rsid w:val="00CA3C23"/>
    <w:rsid w:val="00CA59D3"/>
    <w:rsid w:val="00CA6D77"/>
    <w:rsid w:val="00CA6E3E"/>
    <w:rsid w:val="00CB6723"/>
    <w:rsid w:val="00CB7B1B"/>
    <w:rsid w:val="00CC1F78"/>
    <w:rsid w:val="00CC48E2"/>
    <w:rsid w:val="00CC6ADA"/>
    <w:rsid w:val="00CD4AD5"/>
    <w:rsid w:val="00CE2E50"/>
    <w:rsid w:val="00CE2FD4"/>
    <w:rsid w:val="00CE43AC"/>
    <w:rsid w:val="00CF4AA9"/>
    <w:rsid w:val="00CF72FB"/>
    <w:rsid w:val="00D04ECD"/>
    <w:rsid w:val="00D11677"/>
    <w:rsid w:val="00D16648"/>
    <w:rsid w:val="00D208A9"/>
    <w:rsid w:val="00D24A0A"/>
    <w:rsid w:val="00D26CFF"/>
    <w:rsid w:val="00D333AA"/>
    <w:rsid w:val="00D35149"/>
    <w:rsid w:val="00D405EC"/>
    <w:rsid w:val="00D40A6A"/>
    <w:rsid w:val="00D42212"/>
    <w:rsid w:val="00D43432"/>
    <w:rsid w:val="00D4505F"/>
    <w:rsid w:val="00D452A4"/>
    <w:rsid w:val="00D53F5C"/>
    <w:rsid w:val="00D6081F"/>
    <w:rsid w:val="00D65228"/>
    <w:rsid w:val="00D751B5"/>
    <w:rsid w:val="00D807BC"/>
    <w:rsid w:val="00D8526D"/>
    <w:rsid w:val="00D87054"/>
    <w:rsid w:val="00D915DC"/>
    <w:rsid w:val="00D91640"/>
    <w:rsid w:val="00D9279B"/>
    <w:rsid w:val="00D93869"/>
    <w:rsid w:val="00D93A78"/>
    <w:rsid w:val="00DA14A8"/>
    <w:rsid w:val="00DA63E1"/>
    <w:rsid w:val="00DA6D4D"/>
    <w:rsid w:val="00DB04A6"/>
    <w:rsid w:val="00DB1E57"/>
    <w:rsid w:val="00DB221F"/>
    <w:rsid w:val="00DB2B64"/>
    <w:rsid w:val="00DB43FB"/>
    <w:rsid w:val="00DB76DC"/>
    <w:rsid w:val="00DC21CC"/>
    <w:rsid w:val="00DC52B9"/>
    <w:rsid w:val="00DC6324"/>
    <w:rsid w:val="00DC6689"/>
    <w:rsid w:val="00DD4E46"/>
    <w:rsid w:val="00DE1A21"/>
    <w:rsid w:val="00DE1D43"/>
    <w:rsid w:val="00DF019A"/>
    <w:rsid w:val="00DF5737"/>
    <w:rsid w:val="00DF751B"/>
    <w:rsid w:val="00E032E8"/>
    <w:rsid w:val="00E03E78"/>
    <w:rsid w:val="00E051E7"/>
    <w:rsid w:val="00E057DC"/>
    <w:rsid w:val="00E06FB2"/>
    <w:rsid w:val="00E0767F"/>
    <w:rsid w:val="00E12318"/>
    <w:rsid w:val="00E126F5"/>
    <w:rsid w:val="00E21C82"/>
    <w:rsid w:val="00E22451"/>
    <w:rsid w:val="00E2337B"/>
    <w:rsid w:val="00E27572"/>
    <w:rsid w:val="00E31489"/>
    <w:rsid w:val="00E3446F"/>
    <w:rsid w:val="00E361BF"/>
    <w:rsid w:val="00E378D3"/>
    <w:rsid w:val="00E37C4C"/>
    <w:rsid w:val="00E4245D"/>
    <w:rsid w:val="00E4268C"/>
    <w:rsid w:val="00E5241A"/>
    <w:rsid w:val="00E54FFF"/>
    <w:rsid w:val="00E56B40"/>
    <w:rsid w:val="00E6130D"/>
    <w:rsid w:val="00E61755"/>
    <w:rsid w:val="00E62541"/>
    <w:rsid w:val="00E7004D"/>
    <w:rsid w:val="00E8067A"/>
    <w:rsid w:val="00E81127"/>
    <w:rsid w:val="00E84693"/>
    <w:rsid w:val="00E9306D"/>
    <w:rsid w:val="00E953F9"/>
    <w:rsid w:val="00E97202"/>
    <w:rsid w:val="00EA0864"/>
    <w:rsid w:val="00EA2002"/>
    <w:rsid w:val="00EA3870"/>
    <w:rsid w:val="00EA3A08"/>
    <w:rsid w:val="00EA54DF"/>
    <w:rsid w:val="00EA7BF1"/>
    <w:rsid w:val="00EB09C6"/>
    <w:rsid w:val="00EB2333"/>
    <w:rsid w:val="00EB4C67"/>
    <w:rsid w:val="00EB642A"/>
    <w:rsid w:val="00EC362F"/>
    <w:rsid w:val="00EC58F2"/>
    <w:rsid w:val="00EC67FF"/>
    <w:rsid w:val="00ED150D"/>
    <w:rsid w:val="00ED3D64"/>
    <w:rsid w:val="00ED4A49"/>
    <w:rsid w:val="00ED6CF5"/>
    <w:rsid w:val="00EE032C"/>
    <w:rsid w:val="00EE0C4C"/>
    <w:rsid w:val="00EE2E8B"/>
    <w:rsid w:val="00EE5259"/>
    <w:rsid w:val="00EF37DF"/>
    <w:rsid w:val="00F001B1"/>
    <w:rsid w:val="00F00F1D"/>
    <w:rsid w:val="00F0586F"/>
    <w:rsid w:val="00F10A9A"/>
    <w:rsid w:val="00F10AC8"/>
    <w:rsid w:val="00F113F4"/>
    <w:rsid w:val="00F156A8"/>
    <w:rsid w:val="00F161DB"/>
    <w:rsid w:val="00F2111F"/>
    <w:rsid w:val="00F2374F"/>
    <w:rsid w:val="00F27C8E"/>
    <w:rsid w:val="00F30BDA"/>
    <w:rsid w:val="00F366EE"/>
    <w:rsid w:val="00F376C8"/>
    <w:rsid w:val="00F3797F"/>
    <w:rsid w:val="00F4242D"/>
    <w:rsid w:val="00F51DB7"/>
    <w:rsid w:val="00F52BB1"/>
    <w:rsid w:val="00F55589"/>
    <w:rsid w:val="00F57321"/>
    <w:rsid w:val="00F62FF7"/>
    <w:rsid w:val="00F6557A"/>
    <w:rsid w:val="00F6663F"/>
    <w:rsid w:val="00F703C9"/>
    <w:rsid w:val="00F74AB4"/>
    <w:rsid w:val="00F7619C"/>
    <w:rsid w:val="00F7795D"/>
    <w:rsid w:val="00F810FC"/>
    <w:rsid w:val="00F817B6"/>
    <w:rsid w:val="00F8387B"/>
    <w:rsid w:val="00F83AB8"/>
    <w:rsid w:val="00F855B1"/>
    <w:rsid w:val="00F9133C"/>
    <w:rsid w:val="00F97B5D"/>
    <w:rsid w:val="00FA14D7"/>
    <w:rsid w:val="00FA400E"/>
    <w:rsid w:val="00FA5745"/>
    <w:rsid w:val="00FA7AFB"/>
    <w:rsid w:val="00FA7DA2"/>
    <w:rsid w:val="00FB1E67"/>
    <w:rsid w:val="00FB6452"/>
    <w:rsid w:val="00FB6490"/>
    <w:rsid w:val="00FB6B83"/>
    <w:rsid w:val="00FC31AD"/>
    <w:rsid w:val="00FD1AE1"/>
    <w:rsid w:val="00FD32BA"/>
    <w:rsid w:val="00FD3A92"/>
    <w:rsid w:val="00FD69C6"/>
    <w:rsid w:val="00FE1D30"/>
    <w:rsid w:val="00FE3318"/>
    <w:rsid w:val="00FE381F"/>
    <w:rsid w:val="00FE5BAF"/>
    <w:rsid w:val="00FE7F59"/>
    <w:rsid w:val="00FF53EA"/>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2">
    <w:name w:val="heading 2"/>
    <w:basedOn w:val="Normal"/>
    <w:next w:val="Normal"/>
    <w:link w:val="Heading2Char"/>
    <w:uiPriority w:val="9"/>
    <w:qFormat/>
    <w:rsid w:val="00B97CB7"/>
    <w:pPr>
      <w:keepNext/>
      <w:spacing w:before="180" w:after="180" w:line="280" w:lineRule="exact"/>
      <w:outlineLvl w:val="1"/>
    </w:pPr>
    <w:rPr>
      <w:rFonts w:eastAsia="Times New Roman" w:cs="Times New Roman"/>
      <w:b/>
      <w:bCs/>
      <w:iCs/>
      <w:color w:val="446E82"/>
      <w:sz w:val="28"/>
      <w:szCs w:val="28"/>
      <w:lang w:val="en-GB"/>
    </w:rPr>
  </w:style>
  <w:style w:type="paragraph" w:styleId="Heading3">
    <w:name w:val="heading 3"/>
    <w:basedOn w:val="Normal"/>
    <w:next w:val="Normal"/>
    <w:link w:val="Heading3Char"/>
    <w:uiPriority w:val="9"/>
    <w:unhideWhenUsed/>
    <w:qFormat/>
    <w:rsid w:val="008B04C0"/>
    <w:pPr>
      <w:keepNext/>
      <w:keepLines/>
      <w:spacing w:line="280" w:lineRule="exact"/>
      <w:outlineLvl w:val="2"/>
    </w:pPr>
    <w:rPr>
      <w:rFonts w:eastAsiaTheme="majorEastAsia" w:cstheme="majorBidi"/>
      <w:b/>
      <w:color w:val="446E82"/>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B129E"/>
    <w:pPr>
      <w:spacing w:before="240" w:after="60"/>
      <w:jc w:val="center"/>
      <w:outlineLvl w:val="0"/>
    </w:pPr>
    <w:rPr>
      <w:rFonts w:eastAsia="Times New Roman" w:cs="Times New Roman"/>
      <w:b/>
      <w:bCs/>
      <w:color w:val="446E82"/>
      <w:kern w:val="28"/>
      <w:sz w:val="36"/>
      <w:szCs w:val="32"/>
      <w:lang w:val="en-GB"/>
    </w:rPr>
  </w:style>
  <w:style w:type="character" w:customStyle="1" w:styleId="TitleChar">
    <w:name w:val="Title Char"/>
    <w:basedOn w:val="DefaultParagraphFont"/>
    <w:link w:val="Title"/>
    <w:rsid w:val="009B129E"/>
    <w:rPr>
      <w:rFonts w:ascii="Arial" w:eastAsia="Times New Roman" w:hAnsi="Arial" w:cs="Times New Roman"/>
      <w:b/>
      <w:bCs/>
      <w:color w:val="446E82"/>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97CB7"/>
    <w:rPr>
      <w:rFonts w:ascii="Arial" w:eastAsia="Times New Roman" w:hAnsi="Arial" w:cs="Times New Roman"/>
      <w:b/>
      <w:bCs/>
      <w:iCs/>
      <w:color w:val="446E82"/>
      <w:sz w:val="28"/>
      <w:szCs w:val="28"/>
      <w:lang w:val="en-GB"/>
    </w:rPr>
  </w:style>
  <w:style w:type="character" w:customStyle="1" w:styleId="Heading3Char">
    <w:name w:val="Heading 3 Char"/>
    <w:basedOn w:val="DefaultParagraphFont"/>
    <w:link w:val="Heading3"/>
    <w:uiPriority w:val="9"/>
    <w:rsid w:val="008B04C0"/>
    <w:rPr>
      <w:rFonts w:ascii="Arial" w:eastAsiaTheme="majorEastAsia" w:hAnsi="Arial" w:cstheme="majorBidi"/>
      <w:b/>
      <w:color w:val="446E82"/>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semiHidden/>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semiHidden/>
    <w:rsid w:val="00176460"/>
    <w:rPr>
      <w:rFonts w:ascii="Arial" w:eastAsia="Times New Roman" w:hAnsi="Arial" w:cs="Times New Roman"/>
      <w:sz w:val="20"/>
      <w:szCs w:val="20"/>
      <w:lang w:val="en-GB"/>
    </w:rPr>
  </w:style>
  <w:style w:type="character" w:styleId="FootnoteReference">
    <w:name w:val="footnote reference"/>
    <w:uiPriority w:val="99"/>
    <w:semiHidden/>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047560"/>
    <w:pPr>
      <w:spacing w:after="0" w:line="240" w:lineRule="auto"/>
      <w:ind w:left="720"/>
    </w:pPr>
    <w:rPr>
      <w:rFonts w:ascii="Calibri" w:eastAsia="Calibri" w:hAnsi="Calibri" w:cs="Times New Roman"/>
      <w:sz w:val="22"/>
      <w:lang w:val="en-GB"/>
    </w:rPr>
  </w:style>
  <w:style w:type="paragraph" w:styleId="ListBullet4">
    <w:name w:val="List Bullet 4"/>
    <w:basedOn w:val="Normal"/>
    <w:uiPriority w:val="99"/>
    <w:semiHidden/>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semiHidden/>
    <w:unhideWhenUsed/>
    <w:rsid w:val="00B6612D"/>
    <w:pPr>
      <w:spacing w:line="240" w:lineRule="auto"/>
    </w:pPr>
    <w:rPr>
      <w:szCs w:val="20"/>
    </w:rPr>
  </w:style>
  <w:style w:type="character" w:customStyle="1" w:styleId="CommentTextChar">
    <w:name w:val="Comment Text Char"/>
    <w:basedOn w:val="DefaultParagraphFont"/>
    <w:link w:val="CommentText"/>
    <w:uiPriority w:val="99"/>
    <w:semiHidden/>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446120">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C56FB-8DFF-4E7B-8403-D0FDC97F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2019-10-01T05:12:00Z</cp:lastPrinted>
  <dcterms:created xsi:type="dcterms:W3CDTF">2019-11-11T01:28:00Z</dcterms:created>
  <dcterms:modified xsi:type="dcterms:W3CDTF">2019-11-11T01:35:00Z</dcterms:modified>
</cp:coreProperties>
</file>